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412995" w:rsidP="00412995">
      <w:pPr>
        <w:tabs>
          <w:tab w:val="left" w:pos="-720"/>
        </w:tabs>
        <w:jc w:val="right"/>
        <w:rPr>
          <w:rFonts w:ascii="Times New Roman" w:hAnsi="Times New Roman"/>
          <w:b/>
        </w:rPr>
      </w:pPr>
      <w:r>
        <w:rPr>
          <w:rFonts w:ascii="Times New Roman" w:hAnsi="Times New Roman"/>
          <w:b/>
        </w:rPr>
        <w:t>15-024</w:t>
      </w:r>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94ADB">
        <w:rPr>
          <w:rFonts w:ascii="Times New Roman" w:hAnsi="Times New Roman"/>
        </w:rPr>
        <w:t>X</w:t>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560D3C"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w:t>
      </w:r>
      <w:bookmarkStart w:id="0" w:name="_GoBack"/>
      <w:r>
        <w:rPr>
          <w:rFonts w:ascii="Times New Roman" w:hAnsi="Times New Roman"/>
        </w:rPr>
        <w:t xml:space="preserve">n </w:t>
      </w:r>
      <w:bookmarkEnd w:id="0"/>
      <w:r>
        <w:rPr>
          <w:rFonts w:ascii="Times New Roman" w:hAnsi="Times New Roman"/>
        </w:rPr>
        <w:t>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7464D5" w:rsidRDefault="00BB1D76" w:rsidP="00294ADB">
      <w:pPr>
        <w:tabs>
          <w:tab w:val="left" w:pos="-720"/>
        </w:tabs>
        <w:spacing w:before="160"/>
        <w:rPr>
          <w:rFonts w:ascii="Times New Roman" w:hAnsi="Times New Roman"/>
          <w:szCs w:val="24"/>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243532" w:rsidRPr="007464D5">
        <w:rPr>
          <w:rFonts w:ascii="Times New Roman" w:hAnsi="Times New Roman"/>
          <w:b/>
          <w:szCs w:val="24"/>
        </w:rPr>
        <w:tab/>
      </w:r>
      <w:r w:rsidR="00E2581E">
        <w:rPr>
          <w:rFonts w:ascii="Times New Roman" w:hAnsi="Times New Roman"/>
          <w:szCs w:val="24"/>
        </w:rPr>
        <w:t>Section</w:t>
      </w:r>
      <w:r w:rsidR="00270932">
        <w:rPr>
          <w:rFonts w:ascii="Times New Roman" w:hAnsi="Times New Roman"/>
          <w:szCs w:val="24"/>
        </w:rPr>
        <w:t>s</w:t>
      </w:r>
      <w:r w:rsidR="00E2581E">
        <w:rPr>
          <w:rFonts w:ascii="Times New Roman" w:hAnsi="Times New Roman"/>
          <w:szCs w:val="24"/>
        </w:rPr>
        <w:t xml:space="preserve"> </w:t>
      </w:r>
      <w:r w:rsidR="00AA7CB3">
        <w:rPr>
          <w:rFonts w:ascii="Times New Roman" w:hAnsi="Times New Roman"/>
          <w:szCs w:val="24"/>
        </w:rPr>
        <w:t>1103.4.2</w:t>
      </w:r>
      <w:r w:rsidR="00270932">
        <w:rPr>
          <w:rFonts w:ascii="Times New Roman" w:hAnsi="Times New Roman"/>
          <w:szCs w:val="24"/>
        </w:rPr>
        <w:t>, 1103.4.3</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70932">
        <w:rPr>
          <w:rFonts w:ascii="Times New Roman" w:hAnsi="Times New Roman"/>
          <w:szCs w:val="24"/>
        </w:rPr>
        <w:t>Vertical Openings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294ADB">
        <w:rPr>
          <w:rFonts w:ascii="Times New Roman" w:hAnsi="Times New Roman"/>
          <w:b/>
        </w:rPr>
        <w:t>David Kokot</w:t>
      </w:r>
      <w:r w:rsidR="00294ADB">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294ADB">
        <w:rPr>
          <w:rFonts w:ascii="Times New Roman" w:hAnsi="Times New Roman"/>
          <w:b/>
        </w:rPr>
        <w:t>Fire Protection Engineer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1A61FB">
        <w:rPr>
          <w:rFonts w:ascii="Times New Roman" w:hAnsi="Times New Roman"/>
          <w:b/>
        </w:rPr>
        <w:tab/>
      </w:r>
      <w:r w:rsidR="00D52979">
        <w:rPr>
          <w:rFonts w:ascii="Times New Roman" w:hAnsi="Times New Roman"/>
          <w:b/>
        </w:rPr>
        <w:t>2</w:t>
      </w:r>
      <w:r w:rsidR="001A61FB">
        <w:rPr>
          <w:rFonts w:ascii="Times New Roman" w:hAnsi="Times New Roman"/>
          <w:b/>
        </w:rPr>
        <w:t>/</w:t>
      </w:r>
      <w:r w:rsidR="00D52979">
        <w:rPr>
          <w:rFonts w:ascii="Times New Roman" w:hAnsi="Times New Roman"/>
          <w:b/>
        </w:rPr>
        <w:t>4</w:t>
      </w:r>
      <w:r w:rsidR="00294ADB">
        <w:rPr>
          <w:rFonts w:ascii="Times New Roman" w:hAnsi="Times New Roman"/>
          <w:b/>
        </w:rPr>
        <w:t>/15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294ADB">
        <w:rPr>
          <w:rFonts w:ascii="Times New Roman" w:hAnsi="Times New Roman"/>
          <w:b/>
        </w:rPr>
        <w:t>David Kokot</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294ADB">
        <w:rPr>
          <w:rFonts w:ascii="Times New Roman" w:hAnsi="Times New Roman"/>
          <w:b/>
        </w:rPr>
        <w:tab/>
        <w:t>Fire Protection Engineer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294ADB">
        <w:rPr>
          <w:rFonts w:ascii="Times New Roman" w:hAnsi="Times New Roman"/>
          <w:b/>
        </w:rPr>
        <w:t>44 W. Riverside Ave., Spokane, WA, 99201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294ADB">
        <w:rPr>
          <w:rFonts w:ascii="Times New Roman" w:hAnsi="Times New Roman"/>
          <w:b/>
        </w:rPr>
        <w:t>(509) 625-7056</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294ADB">
        <w:rPr>
          <w:rFonts w:ascii="Times New Roman" w:hAnsi="Times New Roman"/>
          <w:b/>
        </w:rPr>
        <w:t>(509) 435-7056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294ADB">
        <w:rPr>
          <w:rFonts w:ascii="Times New Roman" w:hAnsi="Times New Roman"/>
          <w:b/>
        </w:rPr>
        <w:t>dkokot@spokanefire.org</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294ADB">
        <w:rPr>
          <w:rFonts w:ascii="Times New Roman" w:hAnsi="Times New Roman"/>
        </w:rPr>
        <w:t>2015 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270932">
        <w:rPr>
          <w:rFonts w:ascii="Times New Roman" w:hAnsi="Times New Roman"/>
        </w:rPr>
        <w:t>1103.4.2, 1103.4.3</w:t>
      </w:r>
    </w:p>
    <w:p w:rsidR="00BB1D76" w:rsidRDefault="00BB1D76" w:rsidP="00BB1D76">
      <w:pPr>
        <w:tabs>
          <w:tab w:val="left" w:pos="-720"/>
        </w:tabs>
        <w:rPr>
          <w:rFonts w:ascii="Times New Roman" w:hAnsi="Times New Roman"/>
        </w:rPr>
      </w:pPr>
    </w:p>
    <w:p w:rsidR="00BB1D76" w:rsidRDefault="004B0207" w:rsidP="00294ADB">
      <w:pPr>
        <w:tabs>
          <w:tab w:val="left" w:pos="-720"/>
        </w:tabs>
        <w:rPr>
          <w:rFonts w:ascii="Times New Roman" w:hAnsi="Times New Roman"/>
        </w:rPr>
      </w:pPr>
      <w:r>
        <w:rPr>
          <w:rFonts w:ascii="Times New Roman" w:hAnsi="Times New Roman"/>
        </w:rPr>
        <w:tab/>
      </w:r>
      <w:r w:rsidR="00270932">
        <w:rPr>
          <w:rFonts w:ascii="Times New Roman" w:hAnsi="Times New Roman"/>
        </w:rPr>
        <w:t>Revise</w:t>
      </w:r>
      <w:r w:rsidR="00294ADB">
        <w:rPr>
          <w:rFonts w:ascii="Times New Roman" w:hAnsi="Times New Roman"/>
        </w:rPr>
        <w:t xml:space="preserve"> the Following </w:t>
      </w:r>
      <w:r w:rsidR="00E2581E">
        <w:rPr>
          <w:rFonts w:ascii="Times New Roman" w:hAnsi="Times New Roman"/>
        </w:rPr>
        <w:t>Section</w:t>
      </w:r>
      <w:r w:rsidR="00270932">
        <w:rPr>
          <w:rFonts w:ascii="Times New Roman" w:hAnsi="Times New Roman"/>
        </w:rPr>
        <w:t>s</w:t>
      </w:r>
      <w:r w:rsidR="00294ADB">
        <w:rPr>
          <w:rFonts w:ascii="Times New Roman" w:hAnsi="Times New Roman"/>
        </w:rPr>
        <w:t>:</w:t>
      </w:r>
    </w:p>
    <w:p w:rsidR="00294ADB" w:rsidRDefault="00294ADB" w:rsidP="00294ADB">
      <w:pPr>
        <w:tabs>
          <w:tab w:val="left" w:pos="-720"/>
        </w:tabs>
        <w:rPr>
          <w:rFonts w:ascii="Times New Roman" w:hAnsi="Times New Roman"/>
        </w:rPr>
      </w:pPr>
    </w:p>
    <w:p w:rsidR="00270932" w:rsidRDefault="00270932" w:rsidP="00270932">
      <w:pPr>
        <w:autoSpaceDE w:val="0"/>
        <w:autoSpaceDN w:val="0"/>
        <w:adjustRightInd w:val="0"/>
        <w:ind w:left="720"/>
        <w:rPr>
          <w:rFonts w:ascii="Times New Roman" w:eastAsiaTheme="minorHAnsi" w:hAnsi="Times New Roman"/>
          <w:sz w:val="20"/>
        </w:rPr>
      </w:pPr>
      <w:r>
        <w:rPr>
          <w:rFonts w:ascii="Times New Roman" w:eastAsiaTheme="minorHAnsi" w:hAnsi="Times New Roman"/>
          <w:b/>
          <w:bCs/>
          <w:sz w:val="20"/>
        </w:rPr>
        <w:t xml:space="preserve">1103.4.2 Three to five stories. </w:t>
      </w:r>
      <w:r>
        <w:rPr>
          <w:rFonts w:ascii="Times New Roman" w:eastAsiaTheme="minorHAnsi" w:hAnsi="Times New Roman"/>
          <w:sz w:val="20"/>
        </w:rPr>
        <w:t>In other than Group I occupancies, interior vertical openings connecting three to five</w:t>
      </w:r>
    </w:p>
    <w:p w:rsidR="00270932" w:rsidRDefault="00270932" w:rsidP="00270932">
      <w:pPr>
        <w:autoSpaceDE w:val="0"/>
        <w:autoSpaceDN w:val="0"/>
        <w:adjustRightInd w:val="0"/>
        <w:ind w:left="720"/>
        <w:rPr>
          <w:rFonts w:ascii="Times New Roman" w:eastAsiaTheme="minorHAnsi" w:hAnsi="Times New Roman"/>
          <w:sz w:val="20"/>
        </w:rPr>
      </w:pPr>
      <w:proofErr w:type="gramStart"/>
      <w:r>
        <w:rPr>
          <w:rFonts w:ascii="Times New Roman" w:eastAsiaTheme="minorHAnsi" w:hAnsi="Times New Roman"/>
          <w:sz w:val="20"/>
        </w:rPr>
        <w:t>stories</w:t>
      </w:r>
      <w:proofErr w:type="gramEnd"/>
      <w:r>
        <w:rPr>
          <w:rFonts w:ascii="Times New Roman" w:eastAsiaTheme="minorHAnsi" w:hAnsi="Times New Roman"/>
          <w:sz w:val="20"/>
        </w:rPr>
        <w:t xml:space="preserve"> shall be protected by either 1-hour fire-</w:t>
      </w:r>
      <w:proofErr w:type="spellStart"/>
      <w:r w:rsidRPr="00270932">
        <w:rPr>
          <w:rFonts w:ascii="Times New Roman" w:eastAsiaTheme="minorHAnsi" w:hAnsi="Times New Roman"/>
          <w:sz w:val="20"/>
          <w:u w:val="single"/>
        </w:rPr>
        <w:t>resistan</w:t>
      </w:r>
      <w:r>
        <w:rPr>
          <w:rFonts w:ascii="Times New Roman" w:eastAsiaTheme="minorHAnsi" w:hAnsi="Times New Roman"/>
          <w:sz w:val="20"/>
          <w:u w:val="single"/>
        </w:rPr>
        <w:t>t</w:t>
      </w:r>
      <w:r w:rsidRPr="00270932">
        <w:rPr>
          <w:rFonts w:ascii="Times New Roman" w:eastAsiaTheme="minorHAnsi" w:hAnsi="Times New Roman"/>
          <w:strike/>
          <w:sz w:val="20"/>
          <w:u w:val="single"/>
        </w:rPr>
        <w:t>ce</w:t>
      </w:r>
      <w:proofErr w:type="spellEnd"/>
      <w:r>
        <w:rPr>
          <w:rFonts w:ascii="Times New Roman" w:eastAsiaTheme="minorHAnsi" w:hAnsi="Times New Roman"/>
          <w:sz w:val="20"/>
        </w:rPr>
        <w:t xml:space="preserve"> </w:t>
      </w:r>
      <w:r>
        <w:rPr>
          <w:rFonts w:ascii="Times New Roman" w:eastAsiaTheme="minorHAnsi" w:hAnsi="Times New Roman"/>
          <w:sz w:val="20"/>
          <w:u w:val="single"/>
        </w:rPr>
        <w:t xml:space="preserve">and smoke </w:t>
      </w:r>
      <w:r>
        <w:rPr>
          <w:rFonts w:ascii="Times New Roman" w:eastAsiaTheme="minorHAnsi" w:hAnsi="Times New Roman"/>
          <w:sz w:val="20"/>
        </w:rPr>
        <w:t xml:space="preserve">rated construction or an </w:t>
      </w:r>
      <w:r>
        <w:rPr>
          <w:rFonts w:ascii="Times New Roman" w:eastAsiaTheme="minorHAnsi" w:hAnsi="Times New Roman"/>
          <w:i/>
          <w:iCs/>
          <w:sz w:val="20"/>
        </w:rPr>
        <w:t xml:space="preserve">automatic sprinkler system </w:t>
      </w:r>
      <w:r>
        <w:rPr>
          <w:rFonts w:ascii="Times New Roman" w:eastAsiaTheme="minorHAnsi" w:hAnsi="Times New Roman"/>
          <w:sz w:val="20"/>
        </w:rPr>
        <w:t>shall be installed throughout the building in accordance with Section 903.3.1.1 or 903.3.1.2.</w:t>
      </w:r>
    </w:p>
    <w:p w:rsidR="00270932" w:rsidRDefault="00270932" w:rsidP="00270932">
      <w:pPr>
        <w:autoSpaceDE w:val="0"/>
        <w:autoSpaceDN w:val="0"/>
        <w:adjustRightInd w:val="0"/>
        <w:ind w:left="720"/>
        <w:rPr>
          <w:rFonts w:ascii="Times New Roman" w:eastAsiaTheme="minorHAnsi" w:hAnsi="Times New Roman"/>
          <w:b/>
          <w:bCs/>
          <w:sz w:val="20"/>
        </w:rPr>
      </w:pPr>
      <w:r>
        <w:rPr>
          <w:rFonts w:ascii="Times New Roman" w:eastAsiaTheme="minorHAnsi" w:hAnsi="Times New Roman"/>
          <w:b/>
          <w:bCs/>
          <w:sz w:val="20"/>
        </w:rPr>
        <w:t>Exceptions:</w:t>
      </w:r>
    </w:p>
    <w:p w:rsidR="00270932" w:rsidRDefault="00270932" w:rsidP="00270932">
      <w:pPr>
        <w:autoSpaceDE w:val="0"/>
        <w:autoSpaceDN w:val="0"/>
        <w:adjustRightInd w:val="0"/>
        <w:ind w:left="720"/>
        <w:rPr>
          <w:rFonts w:ascii="Times New Roman" w:eastAsiaTheme="minorHAnsi" w:hAnsi="Times New Roman"/>
          <w:sz w:val="20"/>
        </w:rPr>
      </w:pPr>
      <w:r>
        <w:rPr>
          <w:rFonts w:ascii="Times New Roman" w:eastAsiaTheme="minorHAnsi" w:hAnsi="Times New Roman"/>
          <w:sz w:val="20"/>
        </w:rPr>
        <w:t>1. Vertical opening protection is not required for Group R-3 occupancies.</w:t>
      </w:r>
    </w:p>
    <w:p w:rsidR="00270932" w:rsidRDefault="00270932" w:rsidP="00270932">
      <w:pPr>
        <w:autoSpaceDE w:val="0"/>
        <w:autoSpaceDN w:val="0"/>
        <w:adjustRightInd w:val="0"/>
        <w:ind w:left="720"/>
        <w:rPr>
          <w:rFonts w:ascii="Times New Roman" w:eastAsiaTheme="minorHAnsi" w:hAnsi="Times New Roman"/>
          <w:sz w:val="20"/>
        </w:rPr>
      </w:pPr>
      <w:r>
        <w:rPr>
          <w:rFonts w:ascii="Times New Roman" w:eastAsiaTheme="minorHAnsi" w:hAnsi="Times New Roman"/>
          <w:sz w:val="20"/>
        </w:rPr>
        <w:t>2. Vertical opening protection is not required for open parking garages and ramps.</w:t>
      </w:r>
    </w:p>
    <w:p w:rsidR="00270932" w:rsidRDefault="00270932" w:rsidP="00270932">
      <w:pPr>
        <w:autoSpaceDE w:val="0"/>
        <w:autoSpaceDN w:val="0"/>
        <w:adjustRightInd w:val="0"/>
        <w:ind w:left="720"/>
        <w:rPr>
          <w:rFonts w:ascii="Times New Roman" w:eastAsiaTheme="minorHAnsi" w:hAnsi="Times New Roman"/>
          <w:sz w:val="20"/>
        </w:rPr>
      </w:pPr>
      <w:r>
        <w:rPr>
          <w:rFonts w:ascii="Times New Roman" w:eastAsiaTheme="minorHAnsi" w:hAnsi="Times New Roman"/>
          <w:sz w:val="20"/>
        </w:rPr>
        <w:t>3. Vertical opening protection for escalators shall be in accordance with Section 1103.4.5, 1103.4.6 or</w:t>
      </w:r>
    </w:p>
    <w:p w:rsidR="0072394F" w:rsidRDefault="00270932" w:rsidP="00270932">
      <w:pPr>
        <w:tabs>
          <w:tab w:val="left" w:pos="-720"/>
          <w:tab w:val="left" w:pos="0"/>
          <w:tab w:val="left" w:pos="720"/>
        </w:tabs>
        <w:ind w:left="720"/>
        <w:rPr>
          <w:rFonts w:ascii="Times New Roman" w:hAnsi="Times New Roman"/>
        </w:rPr>
      </w:pPr>
      <w:r>
        <w:rPr>
          <w:rFonts w:ascii="Times New Roman" w:eastAsiaTheme="minorHAnsi" w:hAnsi="Times New Roman"/>
          <w:sz w:val="20"/>
        </w:rPr>
        <w:t>1103.4.7.</w:t>
      </w:r>
    </w:p>
    <w:p w:rsidR="00270932" w:rsidRDefault="00270932" w:rsidP="00270932">
      <w:pPr>
        <w:autoSpaceDE w:val="0"/>
        <w:autoSpaceDN w:val="0"/>
        <w:adjustRightInd w:val="0"/>
        <w:ind w:left="720"/>
        <w:rPr>
          <w:rFonts w:ascii="Times New Roman" w:eastAsiaTheme="minorHAnsi" w:hAnsi="Times New Roman"/>
          <w:sz w:val="20"/>
        </w:rPr>
      </w:pPr>
      <w:r>
        <w:rPr>
          <w:rFonts w:ascii="Times New Roman" w:eastAsiaTheme="minorHAnsi" w:hAnsi="Times New Roman"/>
          <w:b/>
          <w:bCs/>
          <w:sz w:val="20"/>
        </w:rPr>
        <w:t xml:space="preserve">1103.4.3 More than five stories. </w:t>
      </w:r>
      <w:r>
        <w:rPr>
          <w:rFonts w:ascii="Times New Roman" w:eastAsiaTheme="minorHAnsi" w:hAnsi="Times New Roman"/>
          <w:sz w:val="20"/>
        </w:rPr>
        <w:t>In other than Group I occupancies, interior vertical openings connecting more than five</w:t>
      </w:r>
    </w:p>
    <w:p w:rsidR="00270932" w:rsidRDefault="00270932" w:rsidP="00270932">
      <w:pPr>
        <w:autoSpaceDE w:val="0"/>
        <w:autoSpaceDN w:val="0"/>
        <w:adjustRightInd w:val="0"/>
        <w:ind w:left="720"/>
        <w:rPr>
          <w:rFonts w:ascii="Times New Roman" w:eastAsiaTheme="minorHAnsi" w:hAnsi="Times New Roman"/>
          <w:sz w:val="20"/>
        </w:rPr>
      </w:pPr>
      <w:proofErr w:type="gramStart"/>
      <w:r>
        <w:rPr>
          <w:rFonts w:ascii="Times New Roman" w:eastAsiaTheme="minorHAnsi" w:hAnsi="Times New Roman"/>
          <w:sz w:val="20"/>
        </w:rPr>
        <w:t>stories</w:t>
      </w:r>
      <w:proofErr w:type="gramEnd"/>
      <w:r>
        <w:rPr>
          <w:rFonts w:ascii="Times New Roman" w:eastAsiaTheme="minorHAnsi" w:hAnsi="Times New Roman"/>
          <w:sz w:val="20"/>
        </w:rPr>
        <w:t xml:space="preserve"> shall be protected by 1-hour fire-</w:t>
      </w:r>
      <w:proofErr w:type="spellStart"/>
      <w:r>
        <w:rPr>
          <w:rFonts w:ascii="Times New Roman" w:eastAsiaTheme="minorHAnsi" w:hAnsi="Times New Roman"/>
          <w:sz w:val="20"/>
        </w:rPr>
        <w:t>resistan</w:t>
      </w:r>
      <w:r w:rsidRPr="00270932">
        <w:rPr>
          <w:rFonts w:ascii="Times New Roman" w:eastAsiaTheme="minorHAnsi" w:hAnsi="Times New Roman"/>
          <w:sz w:val="20"/>
          <w:u w:val="single"/>
        </w:rPr>
        <w:t>t</w:t>
      </w:r>
      <w:r w:rsidRPr="00270932">
        <w:rPr>
          <w:rFonts w:ascii="Times New Roman" w:eastAsiaTheme="minorHAnsi" w:hAnsi="Times New Roman"/>
          <w:strike/>
          <w:sz w:val="20"/>
        </w:rPr>
        <w:t>ce</w:t>
      </w:r>
      <w:proofErr w:type="spellEnd"/>
      <w:r>
        <w:rPr>
          <w:rFonts w:ascii="Times New Roman" w:eastAsiaTheme="minorHAnsi" w:hAnsi="Times New Roman"/>
          <w:sz w:val="20"/>
        </w:rPr>
        <w:t xml:space="preserve"> </w:t>
      </w:r>
      <w:r>
        <w:rPr>
          <w:rFonts w:ascii="Times New Roman" w:eastAsiaTheme="minorHAnsi" w:hAnsi="Times New Roman"/>
          <w:sz w:val="20"/>
          <w:u w:val="single"/>
        </w:rPr>
        <w:t>and smoke</w:t>
      </w:r>
      <w:r>
        <w:rPr>
          <w:rFonts w:ascii="Times New Roman" w:eastAsiaTheme="minorHAnsi" w:hAnsi="Times New Roman"/>
          <w:sz w:val="20"/>
        </w:rPr>
        <w:t>-rated construction.</w:t>
      </w:r>
    </w:p>
    <w:p w:rsidR="00270932" w:rsidRDefault="00270932" w:rsidP="00270932">
      <w:pPr>
        <w:autoSpaceDE w:val="0"/>
        <w:autoSpaceDN w:val="0"/>
        <w:adjustRightInd w:val="0"/>
        <w:ind w:left="720"/>
        <w:rPr>
          <w:rFonts w:ascii="Times New Roman" w:eastAsiaTheme="minorHAnsi" w:hAnsi="Times New Roman"/>
          <w:b/>
          <w:bCs/>
          <w:sz w:val="20"/>
        </w:rPr>
      </w:pPr>
      <w:r>
        <w:rPr>
          <w:rFonts w:ascii="Times New Roman" w:eastAsiaTheme="minorHAnsi" w:hAnsi="Times New Roman"/>
          <w:b/>
          <w:bCs/>
          <w:sz w:val="20"/>
        </w:rPr>
        <w:t>Exceptions:</w:t>
      </w:r>
    </w:p>
    <w:p w:rsidR="00270932" w:rsidRDefault="00270932" w:rsidP="00270932">
      <w:pPr>
        <w:autoSpaceDE w:val="0"/>
        <w:autoSpaceDN w:val="0"/>
        <w:adjustRightInd w:val="0"/>
        <w:ind w:left="720"/>
        <w:rPr>
          <w:rFonts w:ascii="Times New Roman" w:eastAsiaTheme="minorHAnsi" w:hAnsi="Times New Roman"/>
          <w:sz w:val="20"/>
        </w:rPr>
      </w:pPr>
      <w:r>
        <w:rPr>
          <w:rFonts w:ascii="Times New Roman" w:eastAsiaTheme="minorHAnsi" w:hAnsi="Times New Roman"/>
          <w:sz w:val="20"/>
        </w:rPr>
        <w:t>1. Vertical opening protection is not required for Group R-3 occupancies.</w:t>
      </w:r>
    </w:p>
    <w:p w:rsidR="00270932" w:rsidRDefault="00270932" w:rsidP="00270932">
      <w:pPr>
        <w:autoSpaceDE w:val="0"/>
        <w:autoSpaceDN w:val="0"/>
        <w:adjustRightInd w:val="0"/>
        <w:ind w:left="720"/>
        <w:rPr>
          <w:rFonts w:ascii="Times New Roman" w:eastAsiaTheme="minorHAnsi" w:hAnsi="Times New Roman"/>
          <w:sz w:val="20"/>
        </w:rPr>
      </w:pPr>
      <w:r>
        <w:rPr>
          <w:rFonts w:ascii="Times New Roman" w:eastAsiaTheme="minorHAnsi" w:hAnsi="Times New Roman"/>
          <w:sz w:val="20"/>
        </w:rPr>
        <w:t>2. Vertical opening protection is not required for open parking garages and ramps.</w:t>
      </w:r>
    </w:p>
    <w:p w:rsidR="00270932" w:rsidRDefault="00270932" w:rsidP="00270932">
      <w:pPr>
        <w:autoSpaceDE w:val="0"/>
        <w:autoSpaceDN w:val="0"/>
        <w:adjustRightInd w:val="0"/>
        <w:ind w:left="720"/>
        <w:rPr>
          <w:rFonts w:ascii="Times New Roman" w:hAnsi="Times New Roman"/>
        </w:rPr>
      </w:pPr>
      <w:r>
        <w:rPr>
          <w:rFonts w:ascii="Times New Roman" w:eastAsiaTheme="minorHAnsi" w:hAnsi="Times New Roman"/>
          <w:sz w:val="20"/>
        </w:rPr>
        <w:t>3. Vertical opening protection for escalators shall be in accordance with Section 1103.4.8.</w:t>
      </w:r>
    </w:p>
    <w:p w:rsidR="00270932" w:rsidRDefault="00270932"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270932" w:rsidRPr="00270932" w:rsidRDefault="000046A1" w:rsidP="00270932">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w:t>
      </w:r>
      <w:r w:rsidR="00270932">
        <w:rPr>
          <w:rFonts w:ascii="Times New Roman" w:hAnsi="Times New Roman"/>
          <w:szCs w:val="24"/>
        </w:rPr>
        <w:t xml:space="preserve"> Fire Code does not specifically state that the fire resistance needed is to include both fire and smoke ratings.  In regards to vertical openings between floors, the spread of smoke and fire is one of the leading causes of fire expanding from floor to floor.  In order to properly provide life safety protection for floors in a building that has a fire in another floor, this needs to be clarified.  An historical example of this type of fire behavior and loss of life is the MGM Grand which allowed smoke to penetrate areas of the building that were far from the fire source.</w:t>
      </w:r>
    </w:p>
    <w:p w:rsidR="00270932" w:rsidRDefault="00270932"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906AD3" w:rsidP="00B75D4C">
      <w:pPr>
        <w:pStyle w:val="PlainText"/>
        <w:ind w:left="1080"/>
        <w:rPr>
          <w:rFonts w:ascii="Times New Roman" w:hAnsi="Times New Roman"/>
          <w:sz w:val="24"/>
          <w:szCs w:val="24"/>
        </w:rPr>
      </w:pPr>
      <w:r>
        <w:rPr>
          <w:rFonts w:ascii="Times New Roman" w:hAnsi="Times New Roman"/>
          <w:sz w:val="24"/>
          <w:szCs w:val="24"/>
        </w:rPr>
        <w:t xml:space="preserve">X </w:t>
      </w:r>
      <w:r w:rsidR="00B75D4C" w:rsidRPr="0087578E">
        <w:rPr>
          <w:rFonts w:ascii="Times New Roman" w:hAnsi="Times New Roman"/>
          <w:sz w:val="24"/>
          <w:szCs w:val="24"/>
        </w:rPr>
        <w:t xml:space="preserve"> The amendment is needed to address a critical life/safety need.</w:t>
      </w:r>
    </w:p>
    <w:p w:rsidR="00B75D4C" w:rsidRPr="0087578E" w:rsidRDefault="00560D3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412995">
        <w:rPr>
          <w:rFonts w:ascii="Times New Roman" w:hAnsi="Times New Roman"/>
          <w:sz w:val="24"/>
          <w:szCs w:val="24"/>
        </w:rPr>
      </w:r>
      <w:r w:rsidR="00412995">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560D3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412995">
        <w:rPr>
          <w:rFonts w:ascii="Times New Roman" w:hAnsi="Times New Roman"/>
          <w:sz w:val="24"/>
          <w:szCs w:val="24"/>
        </w:rPr>
      </w:r>
      <w:r w:rsidR="00412995">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560D3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412995">
        <w:rPr>
          <w:rFonts w:ascii="Times New Roman" w:hAnsi="Times New Roman"/>
          <w:sz w:val="24"/>
          <w:szCs w:val="24"/>
        </w:rPr>
      </w:r>
      <w:r w:rsidR="00412995">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560D3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906AD3">
        <w:rPr>
          <w:rFonts w:ascii="Times New Roman" w:hAnsi="Times New Roman"/>
          <w:b/>
          <w:szCs w:val="24"/>
        </w:rPr>
        <w:t>X</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560D3C"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412995">
        <w:rPr>
          <w:rFonts w:ascii="Times New Roman" w:hAnsi="Times New Roman"/>
          <w:szCs w:val="24"/>
        </w:rPr>
      </w:r>
      <w:r w:rsidR="00412995">
        <w:rPr>
          <w:rFonts w:ascii="Times New Roman" w:hAnsi="Times New Roman"/>
          <w:szCs w:val="24"/>
        </w:rPr>
        <w:fldChar w:fldCharType="separate"/>
      </w:r>
      <w:r w:rsidR="00560D3C"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906AD3" w:rsidRDefault="00873296" w:rsidP="00270932">
      <w:pPr>
        <w:ind w:left="720"/>
        <w:rPr>
          <w:rFonts w:ascii="Times New Roman" w:hAnsi="Times New Roman"/>
          <w:szCs w:val="24"/>
        </w:rPr>
      </w:pPr>
      <w:r w:rsidRPr="0087578E">
        <w:rPr>
          <w:rFonts w:ascii="Times New Roman" w:hAnsi="Times New Roman"/>
          <w:szCs w:val="24"/>
        </w:rPr>
        <w:t xml:space="preserve">Explain: </w:t>
      </w:r>
      <w:r w:rsidR="00E2581E">
        <w:rPr>
          <w:rFonts w:ascii="Times New Roman" w:hAnsi="Times New Roman"/>
          <w:szCs w:val="24"/>
        </w:rPr>
        <w:t xml:space="preserve">  </w:t>
      </w:r>
    </w:p>
    <w:p w:rsidR="00270932" w:rsidRDefault="00270932" w:rsidP="00270932">
      <w:pPr>
        <w:ind w:left="720"/>
        <w:rPr>
          <w:rFonts w:ascii="Times New Roman" w:hAnsi="Times New Roman"/>
          <w:szCs w:val="24"/>
        </w:rPr>
      </w:pPr>
    </w:p>
    <w:p w:rsidR="00270932" w:rsidRPr="0087578E" w:rsidRDefault="00270932" w:rsidP="00270932">
      <w:pPr>
        <w:ind w:left="720"/>
        <w:rPr>
          <w:rFonts w:ascii="Times New Roman" w:hAnsi="Times New Roman"/>
          <w:szCs w:val="24"/>
        </w:rPr>
      </w:pPr>
      <w:r>
        <w:rPr>
          <w:rFonts w:ascii="Times New Roman" w:hAnsi="Times New Roman"/>
          <w:szCs w:val="24"/>
        </w:rPr>
        <w:t xml:space="preserve">The construction of rated vertical openings for both fire and smoke resistance could affect the construction costs by approximately </w:t>
      </w:r>
      <w:r w:rsidR="00EC7148">
        <w:rPr>
          <w:rFonts w:ascii="Times New Roman" w:hAnsi="Times New Roman"/>
          <w:szCs w:val="24"/>
        </w:rPr>
        <w:t xml:space="preserve">$1,000 - $5,000 per floor per elevator </w:t>
      </w:r>
      <w:r w:rsidR="001A61FB">
        <w:rPr>
          <w:rFonts w:ascii="Times New Roman" w:hAnsi="Times New Roman"/>
          <w:szCs w:val="24"/>
        </w:rPr>
        <w:t xml:space="preserve">for this scope of construction (vertical openings only) </w:t>
      </w:r>
      <w:r>
        <w:rPr>
          <w:rFonts w:ascii="Times New Roman" w:hAnsi="Times New Roman"/>
          <w:szCs w:val="24"/>
        </w:rPr>
        <w:t xml:space="preserve">in order to provide and test the smoke seal integrity for the new assembly.  </w:t>
      </w:r>
      <w:r w:rsidR="00EC7148">
        <w:rPr>
          <w:rFonts w:ascii="Times New Roman" w:hAnsi="Times New Roman"/>
          <w:szCs w:val="24"/>
        </w:rPr>
        <w:t xml:space="preserve">Enforcement would not be significantly affected, as will the operations and maintenance.  These costs could be affected if an active protection system is provided (i.e.:  elevator shaft pressurization), which   </w:t>
      </w:r>
      <w:proofErr w:type="gramStart"/>
      <w:r w:rsidR="00EC7148" w:rsidRPr="00EC7148">
        <w:rPr>
          <w:rFonts w:ascii="Times New Roman" w:hAnsi="Times New Roman"/>
          <w:color w:val="000000" w:themeColor="text1"/>
        </w:rPr>
        <w:t>The</w:t>
      </w:r>
      <w:proofErr w:type="gramEnd"/>
      <w:r w:rsidR="00EC7148" w:rsidRPr="00EC7148">
        <w:rPr>
          <w:rFonts w:ascii="Times New Roman" w:hAnsi="Times New Roman"/>
          <w:color w:val="000000" w:themeColor="text1"/>
        </w:rPr>
        <w:t xml:space="preserve"> proposal is intended to clarify the intent of the current code language, and provide consistency in </w:t>
      </w:r>
      <w:r w:rsidR="00EC7148" w:rsidRPr="00EC7148">
        <w:rPr>
          <w:rFonts w:ascii="Times New Roman" w:hAnsi="Times New Roman"/>
          <w:color w:val="000000" w:themeColor="text1"/>
        </w:rPr>
        <w:lastRenderedPageBreak/>
        <w:t>enforcement.  Some jurisdictions interpret the current code language to mean that it is not necessary to provide both fire and smoke ratings.</w:t>
      </w:r>
      <w:r w:rsidR="00EC7148">
        <w:rPr>
          <w:color w:val="1F497D"/>
        </w:rPr>
        <w:t xml:space="preserve">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D52979" w:rsidRDefault="00D52979" w:rsidP="006223A8">
            <w:pPr>
              <w:tabs>
                <w:tab w:val="left" w:pos="4320"/>
              </w:tabs>
              <w:ind w:right="-1440"/>
              <w:rPr>
                <w:rFonts w:ascii="Times New Roman" w:hAnsi="Times New Roman"/>
                <w:sz w:val="18"/>
                <w:szCs w:val="18"/>
              </w:rPr>
            </w:pPr>
            <w:r>
              <w:rPr>
                <w:rFonts w:ascii="Times New Roman" w:hAnsi="Times New Roman"/>
                <w:sz w:val="18"/>
                <w:szCs w:val="18"/>
              </w:rPr>
              <w:t>$1K</w:t>
            </w:r>
            <w:r w:rsidRPr="00D52979">
              <w:rPr>
                <w:rFonts w:ascii="Times New Roman" w:hAnsi="Times New Roman"/>
                <w:sz w:val="18"/>
                <w:szCs w:val="18"/>
              </w:rPr>
              <w:t>-$5K/</w:t>
            </w:r>
            <w:proofErr w:type="spellStart"/>
            <w:r w:rsidRPr="00D52979">
              <w:rPr>
                <w:rFonts w:ascii="Times New Roman" w:hAnsi="Times New Roman"/>
                <w:sz w:val="18"/>
                <w:szCs w:val="18"/>
              </w:rPr>
              <w:t>flr</w:t>
            </w:r>
            <w:proofErr w:type="spellEnd"/>
            <w:r w:rsidRPr="00D52979">
              <w:rPr>
                <w:rFonts w:ascii="Times New Roman" w:hAnsi="Times New Roman"/>
                <w:sz w:val="18"/>
                <w:szCs w:val="18"/>
              </w:rPr>
              <w:t>/el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EC7148" w:rsidRDefault="00EC7148" w:rsidP="006223A8">
            <w:pPr>
              <w:tabs>
                <w:tab w:val="left" w:pos="4320"/>
              </w:tabs>
              <w:ind w:right="-1440"/>
              <w:rPr>
                <w:rFonts w:ascii="Times New Roman" w:hAnsi="Times New Roman"/>
                <w:sz w:val="18"/>
                <w:szCs w:val="18"/>
              </w:rPr>
            </w:pPr>
            <w:r w:rsidRPr="00EC7148">
              <w:rPr>
                <w:rFonts w:ascii="Times New Roman" w:hAnsi="Times New Roman"/>
                <w:sz w:val="18"/>
                <w:szCs w:val="18"/>
              </w:rPr>
              <w:t>$1K-$5</w:t>
            </w:r>
            <w:r>
              <w:rPr>
                <w:rFonts w:ascii="Times New Roman" w:hAnsi="Times New Roman"/>
                <w:sz w:val="18"/>
                <w:szCs w:val="18"/>
              </w:rPr>
              <w:t>K/</w:t>
            </w:r>
            <w:proofErr w:type="spellStart"/>
            <w:r>
              <w:rPr>
                <w:rFonts w:ascii="Times New Roman" w:hAnsi="Times New Roman"/>
                <w:sz w:val="18"/>
                <w:szCs w:val="18"/>
              </w:rPr>
              <w:t>flr</w:t>
            </w:r>
            <w:proofErr w:type="spellEnd"/>
            <w:r>
              <w:rPr>
                <w:rFonts w:ascii="Times New Roman" w:hAnsi="Times New Roman"/>
                <w:sz w:val="18"/>
                <w:szCs w:val="18"/>
              </w:rPr>
              <w:t>/el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EC7148" w:rsidP="00EC7148">
            <w:pPr>
              <w:tabs>
                <w:tab w:val="left" w:pos="4320"/>
              </w:tabs>
              <w:ind w:right="-1440"/>
              <w:rPr>
                <w:rFonts w:ascii="Times New Roman" w:hAnsi="Times New Roman"/>
                <w:szCs w:val="24"/>
              </w:rPr>
            </w:pPr>
            <w:r w:rsidRPr="00EC7148">
              <w:rPr>
                <w:rFonts w:ascii="Times New Roman" w:hAnsi="Times New Roman"/>
                <w:sz w:val="18"/>
                <w:szCs w:val="18"/>
              </w:rPr>
              <w:t>$1K-$5</w:t>
            </w:r>
            <w:r>
              <w:rPr>
                <w:rFonts w:ascii="Times New Roman" w:hAnsi="Times New Roman"/>
                <w:sz w:val="18"/>
                <w:szCs w:val="18"/>
              </w:rPr>
              <w:t>K/</w:t>
            </w:r>
            <w:proofErr w:type="spellStart"/>
            <w:r>
              <w:rPr>
                <w:rFonts w:ascii="Times New Roman" w:hAnsi="Times New Roman"/>
                <w:sz w:val="18"/>
                <w:szCs w:val="18"/>
              </w:rPr>
              <w:t>flr</w:t>
            </w:r>
            <w:proofErr w:type="spellEnd"/>
            <w:r>
              <w:rPr>
                <w:rFonts w:ascii="Times New Roman" w:hAnsi="Times New Roman"/>
                <w:sz w:val="18"/>
                <w:szCs w:val="18"/>
              </w:rPr>
              <w:t>/el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EC7148" w:rsidP="00EC7148">
            <w:pPr>
              <w:tabs>
                <w:tab w:val="left" w:pos="4320"/>
              </w:tabs>
              <w:ind w:right="-1440"/>
              <w:rPr>
                <w:rFonts w:ascii="Times New Roman" w:hAnsi="Times New Roman"/>
                <w:szCs w:val="24"/>
              </w:rPr>
            </w:pPr>
            <w:r w:rsidRPr="00EC7148">
              <w:rPr>
                <w:rFonts w:ascii="Times New Roman" w:hAnsi="Times New Roman"/>
                <w:sz w:val="18"/>
                <w:szCs w:val="18"/>
              </w:rPr>
              <w:t>$1K-$5</w:t>
            </w:r>
            <w:r>
              <w:rPr>
                <w:rFonts w:ascii="Times New Roman" w:hAnsi="Times New Roman"/>
                <w:sz w:val="18"/>
                <w:szCs w:val="18"/>
              </w:rPr>
              <w:t>K/</w:t>
            </w:r>
            <w:proofErr w:type="spellStart"/>
            <w:r>
              <w:rPr>
                <w:rFonts w:ascii="Times New Roman" w:hAnsi="Times New Roman"/>
                <w:sz w:val="18"/>
                <w:szCs w:val="18"/>
              </w:rPr>
              <w:t>flr</w:t>
            </w:r>
            <w:proofErr w:type="spellEnd"/>
            <w:r>
              <w:rPr>
                <w:rFonts w:ascii="Times New Roman" w:hAnsi="Times New Roman"/>
                <w:sz w:val="18"/>
                <w:szCs w:val="18"/>
              </w:rPr>
              <w:t>/el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D52979" w:rsidP="006223A8">
            <w:pPr>
              <w:tabs>
                <w:tab w:val="left" w:pos="4320"/>
              </w:tabs>
              <w:ind w:right="-1440"/>
              <w:rPr>
                <w:rFonts w:ascii="Times New Roman" w:hAnsi="Times New Roman"/>
                <w:szCs w:val="24"/>
              </w:rPr>
            </w:pPr>
            <w:r>
              <w:rPr>
                <w:rFonts w:ascii="Times New Roman" w:hAnsi="Times New Roman"/>
                <w:szCs w:val="24"/>
              </w:rPr>
              <w:t>**</w:t>
            </w: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Default="00CC1473" w:rsidP="00CC1473">
      <w:pPr>
        <w:spacing w:after="200" w:line="276" w:lineRule="auto"/>
        <w:rPr>
          <w:rFonts w:ascii="Times New Roman" w:hAnsi="Times New Roman"/>
          <w:b/>
          <w:szCs w:val="24"/>
        </w:rPr>
      </w:pPr>
    </w:p>
    <w:p w:rsidR="00D52979" w:rsidRDefault="00D52979" w:rsidP="00CC1473">
      <w:pPr>
        <w:spacing w:after="200" w:line="276" w:lineRule="auto"/>
        <w:rPr>
          <w:rFonts w:ascii="Times New Roman" w:hAnsi="Times New Roman"/>
          <w:szCs w:val="24"/>
        </w:rPr>
      </w:pPr>
      <w:r>
        <w:rPr>
          <w:rFonts w:ascii="Times New Roman" w:hAnsi="Times New Roman"/>
          <w:b/>
          <w:szCs w:val="24"/>
        </w:rPr>
        <w:t>*</w:t>
      </w:r>
      <w:r>
        <w:rPr>
          <w:rFonts w:ascii="Times New Roman" w:hAnsi="Times New Roman"/>
          <w:szCs w:val="24"/>
        </w:rPr>
        <w:t>The review of plans and inspection of the construction would incur a cost, but these tasks are normally associated with other work being done at the same time.  If this were the only work, plan review would be about $500-$1,000, and inspection would be in the same range.</w:t>
      </w:r>
    </w:p>
    <w:p w:rsidR="00D52979" w:rsidRPr="00D52979" w:rsidRDefault="00D52979" w:rsidP="00CC1473">
      <w:pPr>
        <w:spacing w:after="200" w:line="276" w:lineRule="auto"/>
        <w:rPr>
          <w:rFonts w:ascii="Times New Roman" w:hAnsi="Times New Roman"/>
          <w:szCs w:val="24"/>
        </w:rPr>
      </w:pPr>
      <w:r>
        <w:rPr>
          <w:rFonts w:ascii="Times New Roman" w:hAnsi="Times New Roman"/>
          <w:szCs w:val="24"/>
        </w:rPr>
        <w:t>**Depending upon the method of meeting the requirements, the O&amp;M costs would vary.  For static protection (walls, doors, etc), this would be $0.  If active pressurization is implemented, then annual testing and maintenance costs would be incurred.</w:t>
      </w:r>
    </w:p>
    <w:p w:rsidR="00D52979" w:rsidRPr="0087578E" w:rsidRDefault="00D52979"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Default="00B75D4C" w:rsidP="00771BC9">
      <w:pPr>
        <w:tabs>
          <w:tab w:val="left" w:pos="-720"/>
          <w:tab w:val="left" w:pos="0"/>
          <w:tab w:val="left" w:pos="720"/>
        </w:tabs>
        <w:spacing w:before="120"/>
        <w:ind w:left="720" w:hanging="720"/>
        <w:rPr>
          <w:rStyle w:val="Hyperlink"/>
          <w:rFonts w:ascii="Times New Roman" w:hAnsi="Times New Roman"/>
          <w:color w:val="auto"/>
          <w:szCs w:val="24"/>
          <w:u w:val="none"/>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p w:rsidR="00E2581E" w:rsidRDefault="00E2581E" w:rsidP="00771BC9">
      <w:pPr>
        <w:tabs>
          <w:tab w:val="left" w:pos="-720"/>
          <w:tab w:val="left" w:pos="0"/>
          <w:tab w:val="left" w:pos="720"/>
        </w:tabs>
        <w:spacing w:before="120"/>
        <w:ind w:left="720" w:hanging="720"/>
        <w:rPr>
          <w:rStyle w:val="Hyperlink"/>
          <w:rFonts w:ascii="Times New Roman" w:hAnsi="Times New Roman"/>
          <w:color w:val="auto"/>
          <w:szCs w:val="24"/>
          <w:u w:val="none"/>
        </w:rPr>
      </w:pPr>
    </w:p>
    <w:p w:rsidR="0061619C" w:rsidRPr="00B75D4C" w:rsidRDefault="0061619C" w:rsidP="00771BC9">
      <w:pPr>
        <w:tabs>
          <w:tab w:val="left" w:pos="-720"/>
          <w:tab w:val="left" w:pos="0"/>
          <w:tab w:val="left" w:pos="720"/>
        </w:tabs>
        <w:spacing w:before="120"/>
        <w:ind w:left="720" w:hanging="720"/>
        <w:rPr>
          <w:rFonts w:ascii="Times New Roman" w:hAnsi="Times New Roman"/>
          <w:szCs w:val="24"/>
        </w:rPr>
      </w:pPr>
    </w:p>
    <w:sectPr w:rsidR="0061619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9D" w:rsidRDefault="0092389D" w:rsidP="00110F55">
      <w:r>
        <w:separator/>
      </w:r>
    </w:p>
  </w:endnote>
  <w:endnote w:type="continuationSeparator" w:id="0">
    <w:p w:rsidR="0092389D" w:rsidRDefault="0092389D"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560D3C">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412995">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560D3C">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412995">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9D" w:rsidRDefault="0092389D" w:rsidP="00110F55">
      <w:r>
        <w:separator/>
      </w:r>
    </w:p>
  </w:footnote>
  <w:footnote w:type="continuationSeparator" w:id="0">
    <w:p w:rsidR="0092389D" w:rsidRDefault="0092389D"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Default="00043F5B">
      <w:pPr>
        <w:pStyle w:val="FootnoteText"/>
        <w:rPr>
          <w:sz w:val="16"/>
          <w:szCs w:val="16"/>
        </w:rPr>
      </w:pPr>
      <w:r>
        <w:rPr>
          <w:sz w:val="16"/>
          <w:szCs w:val="16"/>
        </w:rPr>
        <w:br/>
      </w:r>
    </w:p>
    <w:p w:rsidR="00043F5B" w:rsidRDefault="00043F5B">
      <w:pPr>
        <w:pStyle w:val="FootnoteText"/>
        <w:rPr>
          <w:sz w:val="16"/>
          <w:szCs w:val="16"/>
        </w:rPr>
      </w:pPr>
    </w:p>
    <w:p w:rsidR="00043F5B" w:rsidRDefault="00043F5B">
      <w:pPr>
        <w:pStyle w:val="FootnoteText"/>
        <w:rPr>
          <w:sz w:val="16"/>
          <w:szCs w:val="16"/>
        </w:rPr>
      </w:pPr>
    </w:p>
    <w:p w:rsidR="00043F5B" w:rsidRPr="009B75F2" w:rsidRDefault="00043F5B">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46A1"/>
    <w:rsid w:val="00007839"/>
    <w:rsid w:val="000160A5"/>
    <w:rsid w:val="00033870"/>
    <w:rsid w:val="00043F5B"/>
    <w:rsid w:val="00075F76"/>
    <w:rsid w:val="00082B95"/>
    <w:rsid w:val="000835B8"/>
    <w:rsid w:val="000C25C1"/>
    <w:rsid w:val="000F53B4"/>
    <w:rsid w:val="000F721F"/>
    <w:rsid w:val="00110F55"/>
    <w:rsid w:val="00133212"/>
    <w:rsid w:val="0016341B"/>
    <w:rsid w:val="00180891"/>
    <w:rsid w:val="001A61FB"/>
    <w:rsid w:val="001C0D81"/>
    <w:rsid w:val="001D4EC7"/>
    <w:rsid w:val="001E456B"/>
    <w:rsid w:val="002020FC"/>
    <w:rsid w:val="0020492D"/>
    <w:rsid w:val="00211AD1"/>
    <w:rsid w:val="00227B70"/>
    <w:rsid w:val="002365DA"/>
    <w:rsid w:val="00242D7B"/>
    <w:rsid w:val="00243532"/>
    <w:rsid w:val="002545F1"/>
    <w:rsid w:val="00256274"/>
    <w:rsid w:val="00270932"/>
    <w:rsid w:val="002816B7"/>
    <w:rsid w:val="00294ADB"/>
    <w:rsid w:val="0029621B"/>
    <w:rsid w:val="002A15CB"/>
    <w:rsid w:val="002E7439"/>
    <w:rsid w:val="002F26F5"/>
    <w:rsid w:val="002F6438"/>
    <w:rsid w:val="00300162"/>
    <w:rsid w:val="00313FF3"/>
    <w:rsid w:val="00320225"/>
    <w:rsid w:val="0033146D"/>
    <w:rsid w:val="003473BF"/>
    <w:rsid w:val="00354A1F"/>
    <w:rsid w:val="0038770A"/>
    <w:rsid w:val="003917F8"/>
    <w:rsid w:val="003A0F34"/>
    <w:rsid w:val="003A33C8"/>
    <w:rsid w:val="003A6595"/>
    <w:rsid w:val="003A7797"/>
    <w:rsid w:val="003C0F56"/>
    <w:rsid w:val="003C7600"/>
    <w:rsid w:val="003E1132"/>
    <w:rsid w:val="003E55CD"/>
    <w:rsid w:val="003F04BC"/>
    <w:rsid w:val="003F08BE"/>
    <w:rsid w:val="003F0FD9"/>
    <w:rsid w:val="003F33B2"/>
    <w:rsid w:val="003F42A2"/>
    <w:rsid w:val="00412995"/>
    <w:rsid w:val="004268DA"/>
    <w:rsid w:val="004A172E"/>
    <w:rsid w:val="004A786B"/>
    <w:rsid w:val="004B0207"/>
    <w:rsid w:val="004B5701"/>
    <w:rsid w:val="004C5BFC"/>
    <w:rsid w:val="004D417F"/>
    <w:rsid w:val="004E087B"/>
    <w:rsid w:val="00502C30"/>
    <w:rsid w:val="00514761"/>
    <w:rsid w:val="0051568F"/>
    <w:rsid w:val="00523321"/>
    <w:rsid w:val="005400B0"/>
    <w:rsid w:val="005471E3"/>
    <w:rsid w:val="00552BDC"/>
    <w:rsid w:val="00560D3C"/>
    <w:rsid w:val="00572FD3"/>
    <w:rsid w:val="00586A99"/>
    <w:rsid w:val="00603175"/>
    <w:rsid w:val="0061619C"/>
    <w:rsid w:val="006223A8"/>
    <w:rsid w:val="00627A01"/>
    <w:rsid w:val="006309FD"/>
    <w:rsid w:val="0063479B"/>
    <w:rsid w:val="006607C5"/>
    <w:rsid w:val="00684BD7"/>
    <w:rsid w:val="00690B56"/>
    <w:rsid w:val="006A706F"/>
    <w:rsid w:val="006B12E1"/>
    <w:rsid w:val="006B7688"/>
    <w:rsid w:val="006B782D"/>
    <w:rsid w:val="006D0826"/>
    <w:rsid w:val="006D08D9"/>
    <w:rsid w:val="00704E6F"/>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06AD3"/>
    <w:rsid w:val="00916C2B"/>
    <w:rsid w:val="0092389D"/>
    <w:rsid w:val="0092653D"/>
    <w:rsid w:val="009359D1"/>
    <w:rsid w:val="0096271B"/>
    <w:rsid w:val="00965EED"/>
    <w:rsid w:val="009A5583"/>
    <w:rsid w:val="009B169E"/>
    <w:rsid w:val="009B7373"/>
    <w:rsid w:val="009B75F2"/>
    <w:rsid w:val="009E0F3E"/>
    <w:rsid w:val="009F2267"/>
    <w:rsid w:val="00A22418"/>
    <w:rsid w:val="00A91B50"/>
    <w:rsid w:val="00AA7CB3"/>
    <w:rsid w:val="00AB3F11"/>
    <w:rsid w:val="00AB555C"/>
    <w:rsid w:val="00B002D8"/>
    <w:rsid w:val="00B20035"/>
    <w:rsid w:val="00B7203D"/>
    <w:rsid w:val="00B75B50"/>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52979"/>
    <w:rsid w:val="00D65EA7"/>
    <w:rsid w:val="00D807B3"/>
    <w:rsid w:val="00D96B31"/>
    <w:rsid w:val="00D96E40"/>
    <w:rsid w:val="00DC3F1F"/>
    <w:rsid w:val="00DD24FC"/>
    <w:rsid w:val="00DF7283"/>
    <w:rsid w:val="00E16D5E"/>
    <w:rsid w:val="00E2581E"/>
    <w:rsid w:val="00E36028"/>
    <w:rsid w:val="00E4676B"/>
    <w:rsid w:val="00E720B3"/>
    <w:rsid w:val="00E72D6B"/>
    <w:rsid w:val="00E74552"/>
    <w:rsid w:val="00EA30B1"/>
    <w:rsid w:val="00EB1DAB"/>
    <w:rsid w:val="00EC001A"/>
    <w:rsid w:val="00EC7148"/>
    <w:rsid w:val="00EC75B4"/>
    <w:rsid w:val="00ED4DD4"/>
    <w:rsid w:val="00F22CDB"/>
    <w:rsid w:val="00F24BA3"/>
    <w:rsid w:val="00FA532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0AF0-8B25-4050-9CC9-F275397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2015-01-23T21:44:00Z</cp:lastPrinted>
  <dcterms:created xsi:type="dcterms:W3CDTF">2015-03-02T17:29:00Z</dcterms:created>
  <dcterms:modified xsi:type="dcterms:W3CDTF">2015-03-02T17:29:00Z</dcterms:modified>
</cp:coreProperties>
</file>