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4641A1" w:rsidP="004641A1">
      <w:pPr>
        <w:tabs>
          <w:tab w:val="left" w:pos="-720"/>
        </w:tabs>
        <w:jc w:val="right"/>
        <w:rPr>
          <w:rFonts w:ascii="Times New Roman" w:hAnsi="Times New Roman"/>
          <w:b/>
        </w:rPr>
      </w:pPr>
      <w:r>
        <w:rPr>
          <w:rFonts w:ascii="Times New Roman" w:hAnsi="Times New Roman"/>
          <w:b/>
        </w:rPr>
        <w:t>15-025</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E27B61" w:rsidRPr="00E27B61">
        <w:rPr>
          <w:rFonts w:ascii="Times New Roman" w:hAnsi="Times New Roman"/>
          <w:szCs w:val="24"/>
          <w:bdr w:val="single" w:sz="4" w:space="0" w:color="auto"/>
        </w:rPr>
        <w:t>X</w:t>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00E27B61">
        <w:rPr>
          <w:rFonts w:ascii="Times New Roman" w:hAnsi="Times New Roman"/>
          <w:szCs w:val="24"/>
        </w:rPr>
        <w:t>Table 1607.1</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E27B61">
        <w:rPr>
          <w:rFonts w:ascii="Times New Roman" w:hAnsi="Times New Roman"/>
          <w:szCs w:val="24"/>
        </w:rPr>
        <w:t xml:space="preserve">Minimum Uniformly Distributed Live Loads, </w:t>
      </w:r>
      <w:r w:rsidR="00E27B61" w:rsidRPr="00E27B61">
        <w:rPr>
          <w:rFonts w:ascii="Times New Roman" w:hAnsi="Times New Roman"/>
          <w:i/>
          <w:szCs w:val="24"/>
        </w:rPr>
        <w:t>L</w:t>
      </w:r>
      <w:r w:rsidR="00E27B61" w:rsidRPr="00E27B61">
        <w:rPr>
          <w:rFonts w:ascii="Times New Roman" w:hAnsi="Times New Roman"/>
          <w:i/>
          <w:szCs w:val="24"/>
          <w:vertAlign w:val="subscript"/>
        </w:rPr>
        <w:t>0</w:t>
      </w:r>
      <w:r w:rsidR="00E27B61">
        <w:rPr>
          <w:rFonts w:ascii="Times New Roman" w:hAnsi="Times New Roman"/>
          <w:szCs w:val="24"/>
        </w:rPr>
        <w:t>, and Minimum Concentrated Live Loads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E27B61"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E27B61">
        <w:rPr>
          <w:rFonts w:ascii="Times New Roman" w:hAnsi="Times New Roman"/>
          <w:b/>
        </w:rPr>
        <w:t>Washington Association of Building Officials Technical Code Development Committee</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E27B61">
        <w:rPr>
          <w:rFonts w:ascii="Times New Roman" w:hAnsi="Times New Roman"/>
          <w:b/>
        </w:rPr>
        <w:t xml:space="preserve"> 2/10/2015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E27B61">
        <w:rPr>
          <w:rFonts w:ascii="Times New Roman" w:hAnsi="Times New Roman"/>
          <w:b/>
        </w:rPr>
        <w:t>Jonathan Siu</w:t>
      </w:r>
      <w:r w:rsidR="00E27B61">
        <w:rPr>
          <w:rFonts w:ascii="Times New Roman" w:hAnsi="Times New Roman"/>
          <w:b/>
        </w:rPr>
        <w:tab/>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E27B61">
        <w:rPr>
          <w:rFonts w:ascii="Times New Roman" w:hAnsi="Times New Roman"/>
          <w:b/>
        </w:rPr>
        <w:t xml:space="preserve"> Principal Engineer/Building Official</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E27B61">
        <w:rPr>
          <w:rFonts w:ascii="Times New Roman" w:hAnsi="Times New Roman"/>
          <w:b/>
        </w:rPr>
        <w:t>City of Seattle, DPD; 700-5</w:t>
      </w:r>
      <w:r w:rsidR="00E27B61" w:rsidRPr="00E27B61">
        <w:rPr>
          <w:rFonts w:ascii="Times New Roman" w:hAnsi="Times New Roman"/>
          <w:b/>
          <w:vertAlign w:val="superscript"/>
        </w:rPr>
        <w:t>th</w:t>
      </w:r>
      <w:r w:rsidR="00E27B61">
        <w:rPr>
          <w:rFonts w:ascii="Times New Roman" w:hAnsi="Times New Roman"/>
          <w:b/>
        </w:rPr>
        <w:t xml:space="preserve"> Ave, </w:t>
      </w:r>
      <w:proofErr w:type="spellStart"/>
      <w:r w:rsidR="00E27B61">
        <w:rPr>
          <w:rFonts w:ascii="Times New Roman" w:hAnsi="Times New Roman"/>
          <w:b/>
        </w:rPr>
        <w:t>Ste</w:t>
      </w:r>
      <w:proofErr w:type="spellEnd"/>
      <w:r w:rsidR="00E27B61">
        <w:rPr>
          <w:rFonts w:ascii="Times New Roman" w:hAnsi="Times New Roman"/>
          <w:b/>
        </w:rPr>
        <w:t xml:space="preserve"> 2000; PO Box 34019; Seattle, WA  98124-4019</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E27B61">
        <w:rPr>
          <w:rFonts w:ascii="Times New Roman" w:hAnsi="Times New Roman"/>
          <w:b/>
        </w:rPr>
        <w:t>206-233-5163</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E27B61">
        <w:rPr>
          <w:rFonts w:ascii="Times New Roman" w:hAnsi="Times New Roman"/>
          <w:b/>
        </w:rPr>
        <w:t>jon.siu@seattle.gov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w:t>
      </w:r>
      <w:r w:rsidR="00E27B61">
        <w:rPr>
          <w:rFonts w:ascii="Times New Roman" w:hAnsi="Times New Roman"/>
        </w:rPr>
        <w:t>IBC</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w:t>
      </w:r>
      <w:r w:rsidR="00E27B61">
        <w:rPr>
          <w:rFonts w:ascii="Times New Roman" w:hAnsi="Times New Roman"/>
        </w:rPr>
        <w:t>Table 1607.1, Item 5</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2394F" w:rsidRDefault="0072394F" w:rsidP="00BB1D76">
      <w:pPr>
        <w:tabs>
          <w:tab w:val="left" w:pos="-720"/>
          <w:tab w:val="left" w:pos="0"/>
          <w:tab w:val="left" w:pos="720"/>
        </w:tabs>
        <w:rPr>
          <w:rFonts w:ascii="Times New Roman" w:hAnsi="Times New Roman"/>
        </w:rPr>
      </w:pPr>
    </w:p>
    <w:p w:rsidR="00E27B61" w:rsidRPr="00E27B61" w:rsidRDefault="00E27B61" w:rsidP="00E27B61">
      <w:pPr>
        <w:tabs>
          <w:tab w:val="left" w:pos="-720"/>
          <w:tab w:val="left" w:pos="0"/>
          <w:tab w:val="left" w:pos="720"/>
        </w:tabs>
        <w:ind w:left="720"/>
        <w:jc w:val="center"/>
        <w:rPr>
          <w:rFonts w:ascii="Times New Roman" w:hAnsi="Times New Roman"/>
          <w:b/>
        </w:rPr>
      </w:pPr>
      <w:r w:rsidRPr="00E27B61">
        <w:rPr>
          <w:rFonts w:ascii="Times New Roman" w:hAnsi="Times New Roman"/>
          <w:b/>
        </w:rPr>
        <w:t>TABLE 1607.1</w:t>
      </w:r>
    </w:p>
    <w:p w:rsidR="00E27B61" w:rsidRPr="00E27B61" w:rsidRDefault="00E27B61" w:rsidP="00E27B61">
      <w:pPr>
        <w:tabs>
          <w:tab w:val="left" w:pos="-720"/>
          <w:tab w:val="left" w:pos="0"/>
          <w:tab w:val="left" w:pos="720"/>
        </w:tabs>
        <w:ind w:left="720"/>
        <w:jc w:val="center"/>
        <w:rPr>
          <w:rFonts w:ascii="Times New Roman" w:hAnsi="Times New Roman"/>
          <w:b/>
        </w:rPr>
      </w:pPr>
      <w:r w:rsidRPr="00E27B61">
        <w:rPr>
          <w:rFonts w:ascii="Times New Roman" w:hAnsi="Times New Roman"/>
          <w:b/>
        </w:rPr>
        <w:t xml:space="preserve">MINIMUM UNIFORMLY DISTRIBUTED LIVE LOADS, </w:t>
      </w:r>
      <w:r w:rsidRPr="00E27B61">
        <w:rPr>
          <w:rFonts w:ascii="Times New Roman" w:hAnsi="Times New Roman"/>
          <w:b/>
          <w:i/>
        </w:rPr>
        <w:t>L</w:t>
      </w:r>
      <w:r w:rsidRPr="00E27B61">
        <w:rPr>
          <w:rFonts w:ascii="Times New Roman" w:hAnsi="Times New Roman"/>
          <w:b/>
          <w:i/>
          <w:vertAlign w:val="subscript"/>
        </w:rPr>
        <w:t>0</w:t>
      </w:r>
      <w:r w:rsidRPr="00E27B61">
        <w:rPr>
          <w:rFonts w:ascii="Times New Roman" w:hAnsi="Times New Roman"/>
          <w:b/>
        </w:rPr>
        <w:t xml:space="preserve">, AND </w:t>
      </w:r>
      <w:r>
        <w:rPr>
          <w:rFonts w:ascii="Times New Roman" w:hAnsi="Times New Roman"/>
          <w:b/>
        </w:rPr>
        <w:br/>
      </w:r>
      <w:r w:rsidRPr="00E27B61">
        <w:rPr>
          <w:rFonts w:ascii="Times New Roman" w:hAnsi="Times New Roman"/>
          <w:b/>
        </w:rPr>
        <w:t xml:space="preserve">MINIMUM CONCENTRATED LIVE </w:t>
      </w:r>
      <w:proofErr w:type="spellStart"/>
      <w:r w:rsidRPr="00E27B61">
        <w:rPr>
          <w:rFonts w:ascii="Times New Roman" w:hAnsi="Times New Roman"/>
          <w:b/>
        </w:rPr>
        <w:t>LOADS</w:t>
      </w:r>
      <w:r w:rsidRPr="00E27B61">
        <w:rPr>
          <w:rFonts w:ascii="Times New Roman" w:hAnsi="Times New Roman"/>
          <w:b/>
          <w:vertAlign w:val="superscript"/>
        </w:rPr>
        <w:t>g</w:t>
      </w:r>
      <w:proofErr w:type="spellEnd"/>
    </w:p>
    <w:tbl>
      <w:tblPr>
        <w:tblStyle w:val="TableGrid"/>
        <w:tblW w:w="0" w:type="auto"/>
        <w:tblInd w:w="720" w:type="dxa"/>
        <w:tblLook w:val="04A0" w:firstRow="1" w:lastRow="0" w:firstColumn="1" w:lastColumn="0" w:noHBand="0" w:noVBand="1"/>
      </w:tblPr>
      <w:tblGrid>
        <w:gridCol w:w="5305"/>
        <w:gridCol w:w="2340"/>
        <w:gridCol w:w="2425"/>
      </w:tblGrid>
      <w:tr w:rsidR="00E27B61" w:rsidRPr="00E27B61" w:rsidTr="00E27B61">
        <w:tc>
          <w:tcPr>
            <w:tcW w:w="5305" w:type="dxa"/>
            <w:vAlign w:val="center"/>
          </w:tcPr>
          <w:p w:rsidR="00E27B61" w:rsidRPr="00E27B61" w:rsidRDefault="00E27B61" w:rsidP="00E27B61">
            <w:pPr>
              <w:tabs>
                <w:tab w:val="left" w:pos="-720"/>
                <w:tab w:val="left" w:pos="0"/>
                <w:tab w:val="left" w:pos="720"/>
              </w:tabs>
              <w:jc w:val="center"/>
              <w:rPr>
                <w:rFonts w:ascii="Times New Roman" w:hAnsi="Times New Roman"/>
                <w:b/>
              </w:rPr>
            </w:pPr>
            <w:r w:rsidRPr="00E27B61">
              <w:rPr>
                <w:rFonts w:ascii="Times New Roman" w:hAnsi="Times New Roman"/>
                <w:b/>
              </w:rPr>
              <w:t>OCCUPANCY OR USE</w:t>
            </w:r>
          </w:p>
        </w:tc>
        <w:tc>
          <w:tcPr>
            <w:tcW w:w="2340" w:type="dxa"/>
            <w:vAlign w:val="center"/>
          </w:tcPr>
          <w:p w:rsidR="00E27B61" w:rsidRPr="00E27B61" w:rsidRDefault="00E27B61" w:rsidP="00E27B61">
            <w:pPr>
              <w:tabs>
                <w:tab w:val="left" w:pos="-720"/>
                <w:tab w:val="left" w:pos="0"/>
                <w:tab w:val="left" w:pos="720"/>
              </w:tabs>
              <w:jc w:val="center"/>
              <w:rPr>
                <w:rFonts w:ascii="Times New Roman" w:hAnsi="Times New Roman"/>
                <w:b/>
              </w:rPr>
            </w:pPr>
            <w:r w:rsidRPr="00E27B61">
              <w:rPr>
                <w:rFonts w:ascii="Times New Roman" w:hAnsi="Times New Roman"/>
                <w:b/>
              </w:rPr>
              <w:t>UNIFORM</w:t>
            </w:r>
          </w:p>
          <w:p w:rsidR="00E27B61" w:rsidRPr="00E27B61" w:rsidRDefault="00E27B61" w:rsidP="00E27B61">
            <w:pPr>
              <w:tabs>
                <w:tab w:val="left" w:pos="-720"/>
                <w:tab w:val="left" w:pos="0"/>
                <w:tab w:val="left" w:pos="720"/>
              </w:tabs>
              <w:jc w:val="center"/>
              <w:rPr>
                <w:rFonts w:ascii="Times New Roman" w:hAnsi="Times New Roman"/>
                <w:b/>
              </w:rPr>
            </w:pPr>
            <w:r w:rsidRPr="00E27B61">
              <w:rPr>
                <w:rFonts w:ascii="Times New Roman" w:hAnsi="Times New Roman"/>
                <w:b/>
              </w:rPr>
              <w:t>(</w:t>
            </w:r>
            <w:proofErr w:type="spellStart"/>
            <w:r w:rsidRPr="00E27B61">
              <w:rPr>
                <w:rFonts w:ascii="Times New Roman" w:hAnsi="Times New Roman"/>
                <w:b/>
              </w:rPr>
              <w:t>psf</w:t>
            </w:r>
            <w:proofErr w:type="spellEnd"/>
            <w:r w:rsidRPr="00E27B61">
              <w:rPr>
                <w:rFonts w:ascii="Times New Roman" w:hAnsi="Times New Roman"/>
                <w:b/>
              </w:rPr>
              <w:t>)</w:t>
            </w:r>
          </w:p>
        </w:tc>
        <w:tc>
          <w:tcPr>
            <w:tcW w:w="2425" w:type="dxa"/>
            <w:vAlign w:val="center"/>
          </w:tcPr>
          <w:p w:rsidR="00E27B61" w:rsidRPr="00E27B61" w:rsidRDefault="00E27B61" w:rsidP="00E27B61">
            <w:pPr>
              <w:tabs>
                <w:tab w:val="left" w:pos="-720"/>
                <w:tab w:val="left" w:pos="0"/>
                <w:tab w:val="left" w:pos="720"/>
              </w:tabs>
              <w:jc w:val="center"/>
              <w:rPr>
                <w:rFonts w:ascii="Times New Roman" w:hAnsi="Times New Roman"/>
                <w:b/>
              </w:rPr>
            </w:pPr>
            <w:r w:rsidRPr="00E27B61">
              <w:rPr>
                <w:rFonts w:ascii="Times New Roman" w:hAnsi="Times New Roman"/>
                <w:b/>
              </w:rPr>
              <w:t>CONCENTRATED</w:t>
            </w:r>
          </w:p>
          <w:p w:rsidR="00E27B61" w:rsidRPr="00E27B61" w:rsidRDefault="00E27B61" w:rsidP="00E27B61">
            <w:pPr>
              <w:tabs>
                <w:tab w:val="left" w:pos="-720"/>
                <w:tab w:val="left" w:pos="0"/>
                <w:tab w:val="left" w:pos="720"/>
              </w:tabs>
              <w:jc w:val="center"/>
              <w:rPr>
                <w:rFonts w:ascii="Times New Roman" w:hAnsi="Times New Roman"/>
                <w:b/>
              </w:rPr>
            </w:pPr>
            <w:r w:rsidRPr="00E27B61">
              <w:rPr>
                <w:rFonts w:ascii="Times New Roman" w:hAnsi="Times New Roman"/>
                <w:b/>
              </w:rPr>
              <w:t>(pounds)</w:t>
            </w:r>
          </w:p>
        </w:tc>
      </w:tr>
      <w:tr w:rsidR="00E27B61" w:rsidTr="00E27B61">
        <w:tc>
          <w:tcPr>
            <w:tcW w:w="5305" w:type="dxa"/>
            <w:vAlign w:val="center"/>
          </w:tcPr>
          <w:p w:rsidR="00E27B61" w:rsidRDefault="00E27B61" w:rsidP="00E27B61">
            <w:pPr>
              <w:tabs>
                <w:tab w:val="left" w:pos="-720"/>
                <w:tab w:val="left" w:pos="0"/>
                <w:tab w:val="left" w:pos="720"/>
              </w:tabs>
              <w:rPr>
                <w:rFonts w:ascii="Times New Roman" w:hAnsi="Times New Roman"/>
              </w:rPr>
            </w:pPr>
            <w:r>
              <w:rPr>
                <w:rFonts w:ascii="Times New Roman" w:hAnsi="Times New Roman"/>
              </w:rPr>
              <w:t xml:space="preserve">5. Balconies and decks </w:t>
            </w:r>
            <w:r w:rsidRPr="00E27B61">
              <w:rPr>
                <w:rFonts w:ascii="Times New Roman" w:hAnsi="Times New Roman"/>
                <w:vertAlign w:val="superscript"/>
              </w:rPr>
              <w:t>h</w:t>
            </w:r>
          </w:p>
        </w:tc>
        <w:tc>
          <w:tcPr>
            <w:tcW w:w="2340" w:type="dxa"/>
          </w:tcPr>
          <w:p w:rsidR="00E27B61" w:rsidRPr="00E27B61" w:rsidRDefault="00E27B61" w:rsidP="00E27B61">
            <w:pPr>
              <w:tabs>
                <w:tab w:val="left" w:pos="-720"/>
                <w:tab w:val="left" w:pos="0"/>
                <w:tab w:val="left" w:pos="720"/>
              </w:tabs>
              <w:jc w:val="center"/>
              <w:rPr>
                <w:rFonts w:ascii="Times New Roman" w:hAnsi="Times New Roman"/>
                <w:strike/>
              </w:rPr>
            </w:pPr>
            <w:r w:rsidRPr="00E27B61">
              <w:rPr>
                <w:rFonts w:ascii="Times New Roman" w:hAnsi="Times New Roman"/>
                <w:strike/>
              </w:rPr>
              <w:t>Same as occupancy served</w:t>
            </w:r>
          </w:p>
          <w:p w:rsidR="00E27B61" w:rsidRPr="00E27B61" w:rsidRDefault="00E27B61" w:rsidP="00E27B61">
            <w:pPr>
              <w:tabs>
                <w:tab w:val="left" w:pos="-720"/>
                <w:tab w:val="left" w:pos="0"/>
                <w:tab w:val="left" w:pos="720"/>
              </w:tabs>
              <w:jc w:val="center"/>
              <w:rPr>
                <w:rFonts w:ascii="Times New Roman" w:hAnsi="Times New Roman"/>
                <w:u w:val="single"/>
              </w:rPr>
            </w:pPr>
            <w:r w:rsidRPr="00E27B61">
              <w:rPr>
                <w:rFonts w:ascii="Times New Roman" w:hAnsi="Times New Roman"/>
                <w:u w:val="single"/>
              </w:rPr>
              <w:t>1.5 times the live load for the area served.  Not required to exceed 100 psf.</w:t>
            </w:r>
          </w:p>
        </w:tc>
        <w:tc>
          <w:tcPr>
            <w:tcW w:w="2425" w:type="dxa"/>
            <w:vAlign w:val="center"/>
          </w:tcPr>
          <w:p w:rsidR="00E27B61" w:rsidRDefault="00E27B61" w:rsidP="00E27B61">
            <w:pPr>
              <w:tabs>
                <w:tab w:val="left" w:pos="-720"/>
                <w:tab w:val="left" w:pos="0"/>
                <w:tab w:val="left" w:pos="720"/>
              </w:tabs>
              <w:jc w:val="center"/>
              <w:rPr>
                <w:rFonts w:ascii="Times New Roman" w:hAnsi="Times New Roman"/>
              </w:rPr>
            </w:pPr>
            <w:r>
              <w:rPr>
                <w:rFonts w:ascii="Times New Roman" w:hAnsi="Times New Roman"/>
              </w:rPr>
              <w:t>—</w:t>
            </w:r>
          </w:p>
        </w:tc>
      </w:tr>
    </w:tbl>
    <w:p w:rsidR="00E27B61" w:rsidRDefault="00E27B61" w:rsidP="00E27B61">
      <w:pPr>
        <w:tabs>
          <w:tab w:val="left" w:pos="-720"/>
          <w:tab w:val="left" w:pos="0"/>
          <w:tab w:val="left" w:pos="720"/>
        </w:tabs>
        <w:ind w:left="720"/>
        <w:rPr>
          <w:rFonts w:ascii="Times New Roman" w:hAnsi="Times New Roman"/>
        </w:rPr>
      </w:pPr>
      <w:r>
        <w:rPr>
          <w:rFonts w:ascii="Times New Roman" w:hAnsi="Times New Roman"/>
        </w:rPr>
        <w:t>[All other items in table and footnotes to remain unchanged]</w:t>
      </w:r>
    </w:p>
    <w:p w:rsidR="00E27B61" w:rsidRDefault="00E27B61"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13695F" w:rsidRDefault="00EF28F1" w:rsidP="00B75D4C">
      <w:pPr>
        <w:pStyle w:val="ListParagraph"/>
        <w:tabs>
          <w:tab w:val="left" w:pos="-720"/>
          <w:tab w:val="left" w:pos="0"/>
          <w:tab w:val="left" w:pos="720"/>
        </w:tabs>
        <w:ind w:left="360"/>
        <w:rPr>
          <w:rFonts w:ascii="Times New Roman" w:hAnsi="Times New Roman"/>
          <w:szCs w:val="24"/>
        </w:rPr>
      </w:pPr>
      <w:r w:rsidRPr="00EF28F1">
        <w:rPr>
          <w:rFonts w:ascii="Times New Roman" w:hAnsi="Times New Roman"/>
          <w:szCs w:val="24"/>
        </w:rPr>
        <w:t>The purpose of this amendment is to ali</w:t>
      </w:r>
      <w:r>
        <w:rPr>
          <w:rFonts w:ascii="Times New Roman" w:hAnsi="Times New Roman"/>
          <w:szCs w:val="24"/>
        </w:rPr>
        <w:t>gn the live load table in the IB</w:t>
      </w:r>
      <w:r w:rsidRPr="00EF28F1">
        <w:rPr>
          <w:rFonts w:ascii="Times New Roman" w:hAnsi="Times New Roman"/>
          <w:szCs w:val="24"/>
        </w:rPr>
        <w:t xml:space="preserve">C with the live loads in ASCE 7, “Minimum Design Loads for Buildings and Other Structures.”  ASCE 7 is the basis for the live loads in the I-codes, and the documents should align.  </w:t>
      </w:r>
    </w:p>
    <w:p w:rsidR="0013695F" w:rsidRDefault="0013695F" w:rsidP="00B75D4C">
      <w:pPr>
        <w:pStyle w:val="ListParagraph"/>
        <w:tabs>
          <w:tab w:val="left" w:pos="-720"/>
          <w:tab w:val="left" w:pos="0"/>
          <w:tab w:val="left" w:pos="720"/>
        </w:tabs>
        <w:ind w:left="360"/>
        <w:rPr>
          <w:rFonts w:ascii="Times New Roman" w:hAnsi="Times New Roman"/>
          <w:szCs w:val="24"/>
        </w:rPr>
      </w:pPr>
    </w:p>
    <w:p w:rsidR="00EF28F1" w:rsidRDefault="00EF28F1" w:rsidP="00B75D4C">
      <w:pPr>
        <w:pStyle w:val="ListParagraph"/>
        <w:tabs>
          <w:tab w:val="left" w:pos="-720"/>
          <w:tab w:val="left" w:pos="0"/>
          <w:tab w:val="left" w:pos="720"/>
        </w:tabs>
        <w:ind w:left="360"/>
        <w:rPr>
          <w:rFonts w:ascii="Times New Roman" w:hAnsi="Times New Roman"/>
          <w:szCs w:val="24"/>
        </w:rPr>
      </w:pPr>
      <w:r w:rsidRPr="00EF28F1">
        <w:rPr>
          <w:rFonts w:ascii="Times New Roman" w:hAnsi="Times New Roman"/>
          <w:szCs w:val="24"/>
        </w:rPr>
        <w:t xml:space="preserve">Prior to the </w:t>
      </w:r>
      <w:r>
        <w:rPr>
          <w:rFonts w:ascii="Times New Roman" w:hAnsi="Times New Roman"/>
          <w:szCs w:val="24"/>
        </w:rPr>
        <w:t>2009 IB</w:t>
      </w:r>
      <w:r w:rsidRPr="00EF28F1">
        <w:rPr>
          <w:rFonts w:ascii="Times New Roman" w:hAnsi="Times New Roman"/>
          <w:szCs w:val="24"/>
        </w:rPr>
        <w:t>C, balconies and decks were on different lines in the live load table, with different load requirements</w:t>
      </w:r>
      <w:r>
        <w:rPr>
          <w:rFonts w:ascii="Times New Roman" w:hAnsi="Times New Roman"/>
          <w:szCs w:val="24"/>
        </w:rPr>
        <w:t xml:space="preserve">.  Balconies were designed for 100 </w:t>
      </w:r>
      <w:proofErr w:type="spellStart"/>
      <w:r>
        <w:rPr>
          <w:rFonts w:ascii="Times New Roman" w:hAnsi="Times New Roman"/>
          <w:szCs w:val="24"/>
        </w:rPr>
        <w:t>psf</w:t>
      </w:r>
      <w:proofErr w:type="spellEnd"/>
      <w:r>
        <w:rPr>
          <w:rFonts w:ascii="Times New Roman" w:hAnsi="Times New Roman"/>
          <w:szCs w:val="24"/>
        </w:rPr>
        <w:t>, except for small ones associated with a single-family residence, in which case the live load was 60 psf.  Decks were to be designed for the same live load as the occupancy served.</w:t>
      </w:r>
      <w:r w:rsidR="002D700F">
        <w:rPr>
          <w:rFonts w:ascii="Times New Roman" w:hAnsi="Times New Roman"/>
          <w:szCs w:val="24"/>
        </w:rPr>
        <w:t xml:space="preserve">  In the 2009 IB</w:t>
      </w:r>
      <w:r w:rsidRPr="00EF28F1">
        <w:rPr>
          <w:rFonts w:ascii="Times New Roman" w:hAnsi="Times New Roman"/>
          <w:szCs w:val="24"/>
        </w:rPr>
        <w:t xml:space="preserve">C, the two lines were combined, on the basis that they should have the same loading, and </w:t>
      </w:r>
      <w:r>
        <w:rPr>
          <w:rFonts w:ascii="Times New Roman" w:hAnsi="Times New Roman"/>
          <w:szCs w:val="24"/>
        </w:rPr>
        <w:t>the deck load (instead of the balcony load)</w:t>
      </w:r>
      <w:r w:rsidRPr="00EF28F1">
        <w:rPr>
          <w:rFonts w:ascii="Times New Roman" w:hAnsi="Times New Roman"/>
          <w:szCs w:val="24"/>
        </w:rPr>
        <w:t xml:space="preserve"> was somewhat arbitrarily </w:t>
      </w:r>
      <w:r>
        <w:rPr>
          <w:rFonts w:ascii="Times New Roman" w:hAnsi="Times New Roman"/>
          <w:szCs w:val="24"/>
        </w:rPr>
        <w:t>carried forward</w:t>
      </w:r>
      <w:r w:rsidRPr="00EF28F1">
        <w:rPr>
          <w:rFonts w:ascii="Times New Roman" w:hAnsi="Times New Roman"/>
          <w:szCs w:val="24"/>
        </w:rPr>
        <w:t xml:space="preserve"> by the ICC membership.  </w:t>
      </w:r>
      <w:r>
        <w:rPr>
          <w:rFonts w:ascii="Times New Roman" w:hAnsi="Times New Roman"/>
          <w:szCs w:val="24"/>
        </w:rPr>
        <w:t xml:space="preserve">Given the national versus the state code development cycle, the 2009 IBC change was able to be adopted by the SBCC into the 2006 Washington State code.  </w:t>
      </w:r>
    </w:p>
    <w:p w:rsidR="00EF28F1" w:rsidRDefault="00EF28F1" w:rsidP="00B75D4C">
      <w:pPr>
        <w:pStyle w:val="ListParagraph"/>
        <w:tabs>
          <w:tab w:val="left" w:pos="-720"/>
          <w:tab w:val="left" w:pos="0"/>
          <w:tab w:val="left" w:pos="720"/>
        </w:tabs>
        <w:ind w:left="360"/>
        <w:rPr>
          <w:rFonts w:ascii="Times New Roman" w:hAnsi="Times New Roman"/>
          <w:szCs w:val="24"/>
        </w:rPr>
      </w:pPr>
    </w:p>
    <w:p w:rsidR="00EF28F1" w:rsidRDefault="00EF28F1" w:rsidP="00B75D4C">
      <w:pPr>
        <w:pStyle w:val="ListParagraph"/>
        <w:tabs>
          <w:tab w:val="left" w:pos="-720"/>
          <w:tab w:val="left" w:pos="0"/>
          <w:tab w:val="left" w:pos="720"/>
        </w:tabs>
        <w:ind w:left="360"/>
        <w:rPr>
          <w:rFonts w:ascii="Times New Roman" w:hAnsi="Times New Roman"/>
          <w:szCs w:val="24"/>
        </w:rPr>
      </w:pPr>
      <w:r w:rsidRPr="00EF28F1">
        <w:rPr>
          <w:rFonts w:ascii="Times New Roman" w:hAnsi="Times New Roman"/>
          <w:szCs w:val="24"/>
        </w:rPr>
        <w:t>The same change was submitted to ASCE 7 for their consideration, as the</w:t>
      </w:r>
      <w:r>
        <w:rPr>
          <w:rFonts w:ascii="Times New Roman" w:hAnsi="Times New Roman"/>
          <w:szCs w:val="24"/>
        </w:rPr>
        <w:t>y are the</w:t>
      </w:r>
      <w:r w:rsidRPr="00EF28F1">
        <w:rPr>
          <w:rFonts w:ascii="Times New Roman" w:hAnsi="Times New Roman"/>
          <w:szCs w:val="24"/>
        </w:rPr>
        <w:t xml:space="preserve"> experts in determining what the live load should be.  </w:t>
      </w:r>
      <w:r w:rsidR="0013695F">
        <w:rPr>
          <w:rFonts w:ascii="Times New Roman" w:hAnsi="Times New Roman"/>
          <w:szCs w:val="24"/>
        </w:rPr>
        <w:t xml:space="preserve">Many comments from ASCE 7 committee members and other public commenters questioned whether designing to normal floor live loads was </w:t>
      </w:r>
      <w:r w:rsidR="005B2AA0">
        <w:rPr>
          <w:rFonts w:ascii="Times New Roman" w:hAnsi="Times New Roman"/>
          <w:szCs w:val="24"/>
        </w:rPr>
        <w:t>adequate</w:t>
      </w:r>
      <w:r w:rsidR="0013695F">
        <w:rPr>
          <w:rFonts w:ascii="Times New Roman" w:hAnsi="Times New Roman"/>
          <w:szCs w:val="24"/>
        </w:rPr>
        <w:t xml:space="preserve">, given the history of failures (leading to deaths and injuries).  </w:t>
      </w:r>
      <w:r w:rsidRPr="00EF28F1">
        <w:rPr>
          <w:rFonts w:ascii="Times New Roman" w:hAnsi="Times New Roman"/>
          <w:szCs w:val="24"/>
        </w:rPr>
        <w:t>ASCE determined through their deliberative process that the live load on these structures should be 1.5 times the live load for the ar</w:t>
      </w:r>
      <w:r w:rsidR="0013695F">
        <w:rPr>
          <w:rFonts w:ascii="Times New Roman" w:hAnsi="Times New Roman"/>
          <w:szCs w:val="24"/>
        </w:rPr>
        <w:t xml:space="preserve">ea the deck or balcony serves.  </w:t>
      </w:r>
      <w:r w:rsidRPr="00EF28F1">
        <w:rPr>
          <w:rFonts w:ascii="Times New Roman" w:hAnsi="Times New Roman"/>
          <w:szCs w:val="24"/>
        </w:rPr>
        <w:t xml:space="preserve">Note that the result </w:t>
      </w:r>
      <w:r>
        <w:rPr>
          <w:rFonts w:ascii="Times New Roman" w:hAnsi="Times New Roman"/>
          <w:szCs w:val="24"/>
        </w:rPr>
        <w:t xml:space="preserve">for residential decks </w:t>
      </w:r>
      <w:r w:rsidRPr="00EF28F1">
        <w:rPr>
          <w:rFonts w:ascii="Times New Roman" w:hAnsi="Times New Roman"/>
          <w:szCs w:val="24"/>
        </w:rPr>
        <w:t xml:space="preserve">is that decks and balconies will mostly be designed for 60 </w:t>
      </w:r>
      <w:proofErr w:type="spellStart"/>
      <w:r w:rsidRPr="00EF28F1">
        <w:rPr>
          <w:rFonts w:ascii="Times New Roman" w:hAnsi="Times New Roman"/>
          <w:szCs w:val="24"/>
        </w:rPr>
        <w:t>psf</w:t>
      </w:r>
      <w:proofErr w:type="spellEnd"/>
      <w:r w:rsidRPr="00EF28F1">
        <w:rPr>
          <w:rFonts w:ascii="Times New Roman" w:hAnsi="Times New Roman"/>
          <w:szCs w:val="24"/>
        </w:rPr>
        <w:t>, which corresponds with the code requirement for balconies prior to the 2009</w:t>
      </w:r>
      <w:r>
        <w:rPr>
          <w:rFonts w:ascii="Times New Roman" w:hAnsi="Times New Roman"/>
          <w:szCs w:val="24"/>
        </w:rPr>
        <w:t xml:space="preserve"> IBC</w:t>
      </w:r>
      <w:r w:rsidRPr="00EF28F1">
        <w:rPr>
          <w:rFonts w:ascii="Times New Roman" w:hAnsi="Times New Roman"/>
          <w:szCs w:val="24"/>
        </w:rPr>
        <w:t xml:space="preserve">.  </w:t>
      </w:r>
    </w:p>
    <w:p w:rsidR="00EF28F1" w:rsidRDefault="00EF28F1" w:rsidP="00B75D4C">
      <w:pPr>
        <w:pStyle w:val="ListParagraph"/>
        <w:tabs>
          <w:tab w:val="left" w:pos="-720"/>
          <w:tab w:val="left" w:pos="0"/>
          <w:tab w:val="left" w:pos="720"/>
        </w:tabs>
        <w:ind w:left="360"/>
        <w:rPr>
          <w:rFonts w:ascii="Times New Roman" w:hAnsi="Times New Roman"/>
          <w:szCs w:val="24"/>
        </w:rPr>
      </w:pPr>
    </w:p>
    <w:p w:rsidR="00EF28F1" w:rsidRDefault="00EF28F1" w:rsidP="00B75D4C">
      <w:pPr>
        <w:pStyle w:val="ListParagraph"/>
        <w:tabs>
          <w:tab w:val="left" w:pos="-720"/>
          <w:tab w:val="left" w:pos="0"/>
          <w:tab w:val="left" w:pos="720"/>
        </w:tabs>
        <w:ind w:left="360"/>
        <w:rPr>
          <w:rFonts w:ascii="Times New Roman" w:hAnsi="Times New Roman"/>
          <w:szCs w:val="24"/>
        </w:rPr>
      </w:pPr>
      <w:r w:rsidRPr="00EF28F1">
        <w:rPr>
          <w:rFonts w:ascii="Times New Roman" w:hAnsi="Times New Roman"/>
          <w:szCs w:val="24"/>
        </w:rPr>
        <w:t>The benefit of this proposal is to bring the IRC and ASCE 7 into alignment with each other, so designers can appropriately design these structures without concern as to which document governs</w:t>
      </w:r>
    </w:p>
    <w:p w:rsidR="00EF28F1" w:rsidRDefault="00EF28F1"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lastRenderedPageBreak/>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2E4BD0" w:rsidP="00B75D4C">
      <w:pPr>
        <w:pStyle w:val="PlainText"/>
        <w:ind w:left="1080"/>
        <w:rPr>
          <w:rFonts w:ascii="Times New Roman" w:hAnsi="Times New Roman"/>
          <w:sz w:val="24"/>
          <w:szCs w:val="24"/>
        </w:rPr>
      </w:pPr>
      <w:r w:rsidRPr="00E27B61">
        <w:rPr>
          <w:rFonts w:ascii="Times New Roman" w:hAnsi="Times New Roman"/>
          <w:szCs w:val="24"/>
          <w:bdr w:val="single" w:sz="4" w:space="0" w:color="auto"/>
        </w:rPr>
        <w:t>X</w:t>
      </w:r>
      <w:r w:rsidR="00B75D4C"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4641A1">
        <w:rPr>
          <w:rFonts w:ascii="Times New Roman" w:hAnsi="Times New Roman"/>
          <w:sz w:val="24"/>
          <w:szCs w:val="24"/>
        </w:rPr>
      </w:r>
      <w:r w:rsidR="004641A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4641A1">
        <w:rPr>
          <w:rFonts w:ascii="Times New Roman" w:hAnsi="Times New Roman"/>
          <w:sz w:val="24"/>
          <w:szCs w:val="24"/>
        </w:rPr>
      </w:r>
      <w:r w:rsidR="004641A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4641A1">
        <w:rPr>
          <w:rFonts w:ascii="Times New Roman" w:hAnsi="Times New Roman"/>
          <w:sz w:val="24"/>
          <w:szCs w:val="24"/>
        </w:rPr>
      </w:r>
      <w:r w:rsidR="004641A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2E4BD0" w:rsidRPr="00E27B61">
        <w:rPr>
          <w:rFonts w:ascii="Times New Roman" w:hAnsi="Times New Roman"/>
          <w:szCs w:val="24"/>
          <w:bdr w:val="single" w:sz="4" w:space="0" w:color="auto"/>
        </w:rPr>
        <w:t>X</w:t>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4641A1">
        <w:rPr>
          <w:rFonts w:ascii="Times New Roman" w:hAnsi="Times New Roman"/>
          <w:szCs w:val="24"/>
        </w:rPr>
      </w:r>
      <w:r w:rsidR="004641A1">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Default="00873296" w:rsidP="00E16D5E">
      <w:pPr>
        <w:ind w:left="720"/>
        <w:rPr>
          <w:rFonts w:ascii="Times New Roman" w:hAnsi="Times New Roman"/>
          <w:szCs w:val="24"/>
        </w:rPr>
      </w:pPr>
    </w:p>
    <w:p w:rsidR="0013695F" w:rsidRDefault="00944230" w:rsidP="0013695F">
      <w:pPr>
        <w:ind w:left="720"/>
        <w:rPr>
          <w:rFonts w:ascii="Times New Roman" w:hAnsi="Times New Roman"/>
          <w:szCs w:val="24"/>
        </w:rPr>
      </w:pPr>
      <w:r>
        <w:rPr>
          <w:rFonts w:ascii="Times New Roman" w:hAnsi="Times New Roman"/>
          <w:szCs w:val="24"/>
        </w:rPr>
        <w:t xml:space="preserve">The cost increase or reduction will be extremely variable, as the cost of construction is not proportional to the increase or decrease in loads.  However, as an extremely conservative example, for a residential deck or balcony, the cost could rise by as </w:t>
      </w:r>
      <w:r w:rsidR="0013695F">
        <w:rPr>
          <w:rFonts w:ascii="Times New Roman" w:hAnsi="Times New Roman"/>
          <w:szCs w:val="24"/>
        </w:rPr>
        <w:t xml:space="preserve">much as $10 per square foot as follows:  </w:t>
      </w:r>
    </w:p>
    <w:p w:rsidR="0013695F" w:rsidRDefault="0013695F" w:rsidP="0013695F">
      <w:pPr>
        <w:ind w:left="720"/>
        <w:rPr>
          <w:rFonts w:ascii="Times New Roman" w:hAnsi="Times New Roman"/>
          <w:szCs w:val="24"/>
        </w:rPr>
      </w:pPr>
    </w:p>
    <w:p w:rsidR="00F23641" w:rsidRPr="00F23641" w:rsidRDefault="00F23641" w:rsidP="00F23641">
      <w:pPr>
        <w:ind w:left="1440"/>
        <w:rPr>
          <w:rFonts w:ascii="Times New Roman" w:hAnsi="Times New Roman"/>
          <w:szCs w:val="24"/>
        </w:rPr>
      </w:pPr>
      <w:r w:rsidRPr="00F23641">
        <w:rPr>
          <w:rFonts w:ascii="Times New Roman" w:hAnsi="Times New Roman"/>
          <w:szCs w:val="24"/>
        </w:rPr>
        <w:t xml:space="preserve">If the decks and balconies are currently designed for 40 </w:t>
      </w:r>
      <w:proofErr w:type="spellStart"/>
      <w:r w:rsidRPr="00F23641">
        <w:rPr>
          <w:rFonts w:ascii="Times New Roman" w:hAnsi="Times New Roman"/>
          <w:szCs w:val="24"/>
        </w:rPr>
        <w:t>psf</w:t>
      </w:r>
      <w:proofErr w:type="spellEnd"/>
      <w:r w:rsidRPr="00F23641">
        <w:rPr>
          <w:rFonts w:ascii="Times New Roman" w:hAnsi="Times New Roman"/>
          <w:szCs w:val="24"/>
        </w:rPr>
        <w:t xml:space="preserve"> live load and 10 </w:t>
      </w:r>
      <w:proofErr w:type="spellStart"/>
      <w:r w:rsidRPr="00F23641">
        <w:rPr>
          <w:rFonts w:ascii="Times New Roman" w:hAnsi="Times New Roman"/>
          <w:szCs w:val="24"/>
        </w:rPr>
        <w:t>psf</w:t>
      </w:r>
      <w:proofErr w:type="spellEnd"/>
      <w:r w:rsidRPr="00F23641">
        <w:rPr>
          <w:rFonts w:ascii="Times New Roman" w:hAnsi="Times New Roman"/>
          <w:szCs w:val="24"/>
        </w:rPr>
        <w:t xml:space="preserve"> dead load (total = 50 </w:t>
      </w:r>
      <w:proofErr w:type="spellStart"/>
      <w:r w:rsidRPr="00F23641">
        <w:rPr>
          <w:rFonts w:ascii="Times New Roman" w:hAnsi="Times New Roman"/>
          <w:szCs w:val="24"/>
        </w:rPr>
        <w:t>psf</w:t>
      </w:r>
      <w:proofErr w:type="spellEnd"/>
      <w:r w:rsidRPr="00F23641">
        <w:rPr>
          <w:rFonts w:ascii="Times New Roman" w:hAnsi="Times New Roman"/>
          <w:szCs w:val="24"/>
        </w:rPr>
        <w:t xml:space="preserve">), the new requirement for 60 </w:t>
      </w:r>
      <w:proofErr w:type="spellStart"/>
      <w:r w:rsidRPr="00F23641">
        <w:rPr>
          <w:rFonts w:ascii="Times New Roman" w:hAnsi="Times New Roman"/>
          <w:szCs w:val="24"/>
        </w:rPr>
        <w:t>psf</w:t>
      </w:r>
      <w:proofErr w:type="spellEnd"/>
      <w:r w:rsidRPr="00F23641">
        <w:rPr>
          <w:rFonts w:ascii="Times New Roman" w:hAnsi="Times New Roman"/>
          <w:szCs w:val="24"/>
        </w:rPr>
        <w:t xml:space="preserve"> live load</w:t>
      </w:r>
      <w:r>
        <w:rPr>
          <w:rFonts w:ascii="Times New Roman" w:hAnsi="Times New Roman"/>
          <w:szCs w:val="24"/>
        </w:rPr>
        <w:t xml:space="preserve"> (=1.5 x 40)</w:t>
      </w:r>
      <w:r w:rsidRPr="00F23641">
        <w:rPr>
          <w:rFonts w:ascii="Times New Roman" w:hAnsi="Times New Roman"/>
          <w:szCs w:val="24"/>
        </w:rPr>
        <w:t xml:space="preserve"> will increase the total load by 40% (70 </w:t>
      </w:r>
      <w:proofErr w:type="spellStart"/>
      <w:r w:rsidRPr="00F23641">
        <w:rPr>
          <w:rFonts w:ascii="Times New Roman" w:hAnsi="Times New Roman"/>
          <w:szCs w:val="24"/>
        </w:rPr>
        <w:t>psf</w:t>
      </w:r>
      <w:proofErr w:type="spellEnd"/>
      <w:r w:rsidRPr="00F23641">
        <w:rPr>
          <w:rFonts w:ascii="Times New Roman" w:hAnsi="Times New Roman"/>
          <w:szCs w:val="24"/>
        </w:rPr>
        <w:t xml:space="preserve">/50 </w:t>
      </w:r>
      <w:proofErr w:type="spellStart"/>
      <w:r w:rsidRPr="00F23641">
        <w:rPr>
          <w:rFonts w:ascii="Times New Roman" w:hAnsi="Times New Roman"/>
          <w:szCs w:val="24"/>
        </w:rPr>
        <w:t>psf</w:t>
      </w:r>
      <w:proofErr w:type="spellEnd"/>
      <w:r w:rsidRPr="00F23641">
        <w:rPr>
          <w:rFonts w:ascii="Times New Roman" w:hAnsi="Times New Roman"/>
          <w:szCs w:val="24"/>
        </w:rPr>
        <w:t xml:space="preserve"> = 1.4).  </w:t>
      </w:r>
      <w:r>
        <w:rPr>
          <w:rFonts w:ascii="Times New Roman" w:hAnsi="Times New Roman"/>
          <w:szCs w:val="24"/>
        </w:rPr>
        <w:t>If the assumption is made that this results in a 40% increase in the amount of structural materials, it could be argued that there is a 40% increase in the cost.</w:t>
      </w:r>
    </w:p>
    <w:p w:rsidR="00F23641" w:rsidRPr="00F23641" w:rsidRDefault="00F23641" w:rsidP="00F23641">
      <w:pPr>
        <w:ind w:left="1440"/>
        <w:rPr>
          <w:rFonts w:ascii="Times New Roman" w:hAnsi="Times New Roman"/>
          <w:szCs w:val="24"/>
        </w:rPr>
      </w:pPr>
    </w:p>
    <w:p w:rsidR="0013695F" w:rsidRDefault="00F23641" w:rsidP="00F23641">
      <w:pPr>
        <w:ind w:left="1440"/>
        <w:rPr>
          <w:rFonts w:ascii="Times New Roman" w:hAnsi="Times New Roman"/>
          <w:szCs w:val="24"/>
        </w:rPr>
      </w:pPr>
      <w:r w:rsidRPr="00F23641">
        <w:rPr>
          <w:rFonts w:ascii="Times New Roman" w:hAnsi="Times New Roman"/>
          <w:szCs w:val="24"/>
        </w:rPr>
        <w:t xml:space="preserve">For the City of Seattle, based on ICC building valuation data, an uncovered deck associated with a single family residence is valued at approximately $25/square foot, including labor and materials.  A </w:t>
      </w:r>
      <w:r w:rsidR="005B2AA0">
        <w:rPr>
          <w:rFonts w:ascii="Times New Roman" w:hAnsi="Times New Roman"/>
          <w:szCs w:val="24"/>
        </w:rPr>
        <w:t>40% increase would mean a deck c</w:t>
      </w:r>
      <w:r w:rsidRPr="00F23641">
        <w:rPr>
          <w:rFonts w:ascii="Times New Roman" w:hAnsi="Times New Roman"/>
          <w:szCs w:val="24"/>
        </w:rPr>
        <w:t>ould cost $10 more per square foot</w:t>
      </w:r>
      <w:r>
        <w:rPr>
          <w:rFonts w:ascii="Times New Roman" w:hAnsi="Times New Roman"/>
          <w:szCs w:val="24"/>
        </w:rPr>
        <w:t xml:space="preserve"> (=0.4 x $25)</w:t>
      </w:r>
      <w:r w:rsidRPr="00F23641">
        <w:rPr>
          <w:rFonts w:ascii="Times New Roman" w:hAnsi="Times New Roman"/>
          <w:szCs w:val="24"/>
        </w:rPr>
        <w:t xml:space="preserve">.  </w:t>
      </w:r>
    </w:p>
    <w:p w:rsidR="0013695F" w:rsidRDefault="0013695F" w:rsidP="0013695F">
      <w:pPr>
        <w:ind w:left="720"/>
        <w:rPr>
          <w:rFonts w:ascii="Times New Roman" w:hAnsi="Times New Roman"/>
          <w:szCs w:val="24"/>
        </w:rPr>
      </w:pPr>
    </w:p>
    <w:p w:rsidR="0013695F" w:rsidRDefault="0013695F" w:rsidP="0013695F">
      <w:pPr>
        <w:ind w:left="720"/>
        <w:rPr>
          <w:rFonts w:ascii="Times New Roman" w:hAnsi="Times New Roman"/>
          <w:szCs w:val="24"/>
        </w:rPr>
      </w:pPr>
      <w:r>
        <w:rPr>
          <w:rFonts w:ascii="Times New Roman" w:hAnsi="Times New Roman"/>
          <w:szCs w:val="24"/>
        </w:rPr>
        <w:t>However:</w:t>
      </w:r>
    </w:p>
    <w:p w:rsidR="0013695F" w:rsidRDefault="00F23641" w:rsidP="0013695F">
      <w:pPr>
        <w:pStyle w:val="ListParagraph"/>
        <w:numPr>
          <w:ilvl w:val="0"/>
          <w:numId w:val="11"/>
        </w:numPr>
        <w:rPr>
          <w:rFonts w:ascii="Times New Roman" w:hAnsi="Times New Roman"/>
          <w:szCs w:val="24"/>
        </w:rPr>
      </w:pPr>
      <w:r>
        <w:rPr>
          <w:rFonts w:ascii="Times New Roman" w:hAnsi="Times New Roman"/>
          <w:szCs w:val="24"/>
        </w:rPr>
        <w:t>For the example above, i</w:t>
      </w:r>
      <w:r w:rsidR="0013695F">
        <w:rPr>
          <w:rFonts w:ascii="Times New Roman" w:hAnsi="Times New Roman"/>
          <w:szCs w:val="24"/>
        </w:rPr>
        <w:t>t is unlikely that 40% more structural materials</w:t>
      </w:r>
      <w:r>
        <w:rPr>
          <w:rFonts w:ascii="Times New Roman" w:hAnsi="Times New Roman"/>
          <w:szCs w:val="24"/>
        </w:rPr>
        <w:t xml:space="preserve"> (numbers of joists, decking, or posts)</w:t>
      </w:r>
      <w:r w:rsidR="0013695F">
        <w:rPr>
          <w:rFonts w:ascii="Times New Roman" w:hAnsi="Times New Roman"/>
          <w:szCs w:val="24"/>
        </w:rPr>
        <w:t xml:space="preserve"> will be needed to </w:t>
      </w:r>
      <w:r>
        <w:rPr>
          <w:rFonts w:ascii="Times New Roman" w:hAnsi="Times New Roman"/>
          <w:szCs w:val="24"/>
        </w:rPr>
        <w:t>comply with the new loading, as there are many other factors that contribute to sizing of structural members, including user comfort.  (Minimum code design allows floors that deflect more than most users are comfortable with.)</w:t>
      </w:r>
    </w:p>
    <w:p w:rsidR="00C004EB" w:rsidRDefault="00F23641" w:rsidP="00C004EB">
      <w:pPr>
        <w:pStyle w:val="ListParagraph"/>
        <w:numPr>
          <w:ilvl w:val="0"/>
          <w:numId w:val="11"/>
        </w:numPr>
        <w:rPr>
          <w:rFonts w:ascii="Times New Roman" w:hAnsi="Times New Roman"/>
          <w:szCs w:val="24"/>
        </w:rPr>
      </w:pPr>
      <w:r>
        <w:rPr>
          <w:rFonts w:ascii="Times New Roman" w:hAnsi="Times New Roman"/>
          <w:szCs w:val="24"/>
        </w:rPr>
        <w:t>ICC’s building valuation data theoretically includes labor costs.  Increasing the amount of materials in the example above does not necessarily result in a 40% increase in labor.</w:t>
      </w:r>
      <w:r w:rsidR="00C004EB" w:rsidRPr="00C004EB">
        <w:rPr>
          <w:rFonts w:ascii="Times New Roman" w:hAnsi="Times New Roman"/>
          <w:szCs w:val="24"/>
        </w:rPr>
        <w:t xml:space="preserve"> </w:t>
      </w:r>
    </w:p>
    <w:p w:rsidR="00F23641" w:rsidRPr="0013695F" w:rsidRDefault="00C004EB" w:rsidP="0013695F">
      <w:pPr>
        <w:pStyle w:val="ListParagraph"/>
        <w:numPr>
          <w:ilvl w:val="0"/>
          <w:numId w:val="11"/>
        </w:numPr>
        <w:rPr>
          <w:rFonts w:ascii="Times New Roman" w:hAnsi="Times New Roman"/>
          <w:szCs w:val="24"/>
        </w:rPr>
      </w:pPr>
      <w:r>
        <w:rPr>
          <w:rFonts w:ascii="Times New Roman" w:hAnsi="Times New Roman"/>
          <w:szCs w:val="24"/>
        </w:rPr>
        <w:t>T</w:t>
      </w:r>
      <w:r w:rsidRPr="0013695F">
        <w:rPr>
          <w:rFonts w:ascii="Times New Roman" w:hAnsi="Times New Roman"/>
          <w:szCs w:val="24"/>
        </w:rPr>
        <w:t xml:space="preserve">his is a temporary difference in cost, as it is anticipated that the same change will be made to the 2018 IBC.  That is, when the 2018 IBC is adopted, the amendment will no longer be necessary, and the cost difference for deck/balcony construction between the IBC and the </w:t>
      </w:r>
      <w:r>
        <w:rPr>
          <w:rFonts w:ascii="Times New Roman" w:hAnsi="Times New Roman"/>
          <w:szCs w:val="24"/>
        </w:rPr>
        <w:t>Washington State Building Code</w:t>
      </w:r>
      <w:r w:rsidRPr="0013695F">
        <w:rPr>
          <w:rFonts w:ascii="Times New Roman" w:hAnsi="Times New Roman"/>
          <w:szCs w:val="24"/>
        </w:rPr>
        <w:t xml:space="preserve"> will be zero.</w:t>
      </w:r>
    </w:p>
    <w:p w:rsidR="0013695F" w:rsidRPr="0013695F" w:rsidRDefault="0013695F" w:rsidP="0013695F">
      <w:pPr>
        <w:ind w:left="720"/>
        <w:rPr>
          <w:rFonts w:ascii="Times New Roman" w:hAnsi="Times New Roman"/>
          <w:szCs w:val="24"/>
        </w:rPr>
      </w:pPr>
    </w:p>
    <w:p w:rsidR="00944230" w:rsidRPr="0087578E" w:rsidRDefault="00944230"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C64353" w:rsidP="006223A8">
            <w:pPr>
              <w:tabs>
                <w:tab w:val="left" w:pos="4320"/>
              </w:tabs>
              <w:ind w:right="-1440"/>
              <w:rPr>
                <w:rFonts w:ascii="Times New Roman" w:hAnsi="Times New Roman"/>
                <w:szCs w:val="24"/>
              </w:rPr>
            </w:pPr>
            <w:r>
              <w:rPr>
                <w:rFonts w:ascii="Times New Roman" w:hAnsi="Times New Roman"/>
                <w:szCs w:val="24"/>
              </w:rPr>
              <w:t>≤ $10/</w:t>
            </w:r>
            <w:proofErr w:type="spellStart"/>
            <w:r>
              <w:rPr>
                <w:rFonts w:ascii="Times New Roman" w:hAnsi="Times New Roman"/>
                <w:szCs w:val="24"/>
              </w:rPr>
              <w:t>sq</w:t>
            </w:r>
            <w:proofErr w:type="spellEnd"/>
            <w:r>
              <w:rPr>
                <w:rFonts w:ascii="Times New Roman" w:hAnsi="Times New Roman"/>
                <w:szCs w:val="24"/>
              </w:rPr>
              <w:t xml:space="preserve"> </w:t>
            </w:r>
            <w:proofErr w:type="spellStart"/>
            <w:r>
              <w:rPr>
                <w:rFonts w:ascii="Times New Roman" w:hAnsi="Times New Roman"/>
                <w:szCs w:val="24"/>
              </w:rPr>
              <w:t>ft</w:t>
            </w:r>
            <w:proofErr w:type="spellEnd"/>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C64353" w:rsidP="006223A8">
            <w:pPr>
              <w:tabs>
                <w:tab w:val="left" w:pos="4320"/>
              </w:tabs>
              <w:ind w:right="-1440"/>
              <w:rPr>
                <w:rFonts w:ascii="Times New Roman" w:hAnsi="Times New Roman"/>
                <w:szCs w:val="24"/>
              </w:rPr>
            </w:pPr>
            <w:r>
              <w:rPr>
                <w:rFonts w:ascii="Times New Roman" w:hAnsi="Times New Roman"/>
                <w:szCs w:val="24"/>
              </w:rPr>
              <w:t>Variable</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C64353" w:rsidP="006223A8">
            <w:pPr>
              <w:tabs>
                <w:tab w:val="left" w:pos="4320"/>
              </w:tabs>
              <w:ind w:right="-1440"/>
              <w:rPr>
                <w:rFonts w:ascii="Times New Roman" w:hAnsi="Times New Roman"/>
                <w:szCs w:val="24"/>
              </w:rPr>
            </w:pPr>
            <w:r>
              <w:rPr>
                <w:rFonts w:ascii="Times New Roman" w:hAnsi="Times New Roman"/>
                <w:szCs w:val="24"/>
              </w:rPr>
              <w:t>Variable</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C64353" w:rsidP="006223A8">
            <w:pPr>
              <w:tabs>
                <w:tab w:val="left" w:pos="4320"/>
              </w:tabs>
              <w:ind w:right="-1440"/>
              <w:rPr>
                <w:rFonts w:ascii="Times New Roman" w:hAnsi="Times New Roman"/>
                <w:szCs w:val="24"/>
              </w:rPr>
            </w:pPr>
            <w:r>
              <w:rPr>
                <w:rFonts w:ascii="Times New Roman" w:hAnsi="Times New Roman"/>
                <w:szCs w:val="24"/>
              </w:rPr>
              <w:t>Variable</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C64353" w:rsidP="006223A8">
            <w:pPr>
              <w:tabs>
                <w:tab w:val="left" w:pos="4320"/>
              </w:tabs>
              <w:ind w:right="-1440"/>
              <w:rPr>
                <w:rFonts w:ascii="Times New Roman" w:hAnsi="Times New Roman"/>
                <w:szCs w:val="24"/>
              </w:rPr>
            </w:pPr>
            <w:r>
              <w:rPr>
                <w:rFonts w:ascii="Times New Roman" w:hAnsi="Times New Roman"/>
                <w:szCs w:val="24"/>
              </w:rPr>
              <w:t>Variable</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80" w:rsidRDefault="00DD4F80" w:rsidP="00110F55">
      <w:r>
        <w:separator/>
      </w:r>
    </w:p>
  </w:endnote>
  <w:endnote w:type="continuationSeparator" w:id="0">
    <w:p w:rsidR="00DD4F80" w:rsidRDefault="00DD4F8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4641A1">
      <w:rPr>
        <w:noProof/>
        <w:sz w:val="18"/>
        <w:szCs w:val="18"/>
      </w:rPr>
      <w:t>March 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4641A1">
      <w:rPr>
        <w:noProof/>
        <w:sz w:val="18"/>
        <w:szCs w:val="18"/>
      </w:rPr>
      <w:t>March 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80" w:rsidRDefault="00DD4F80" w:rsidP="00110F55">
      <w:r>
        <w:separator/>
      </w:r>
    </w:p>
  </w:footnote>
  <w:footnote w:type="continuationSeparator" w:id="0">
    <w:p w:rsidR="00DD4F80" w:rsidRDefault="00DD4F80"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8A43CE"/>
    <w:multiLevelType w:val="hybridMultilevel"/>
    <w:tmpl w:val="F87C335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66477277"/>
    <w:multiLevelType w:val="hybridMultilevel"/>
    <w:tmpl w:val="2932B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10"/>
  </w:num>
  <w:num w:numId="6">
    <w:abstractNumId w:val="8"/>
  </w:num>
  <w:num w:numId="7">
    <w:abstractNumId w:val="4"/>
  </w:num>
  <w:num w:numId="8">
    <w:abstractNumId w:val="9"/>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65E2E"/>
    <w:rsid w:val="00075F76"/>
    <w:rsid w:val="00082B95"/>
    <w:rsid w:val="000835B8"/>
    <w:rsid w:val="000C25C1"/>
    <w:rsid w:val="000F53B4"/>
    <w:rsid w:val="000F721F"/>
    <w:rsid w:val="00110F55"/>
    <w:rsid w:val="00133212"/>
    <w:rsid w:val="0013695F"/>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D700F"/>
    <w:rsid w:val="002E4BD0"/>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641A1"/>
    <w:rsid w:val="004A172E"/>
    <w:rsid w:val="004A786B"/>
    <w:rsid w:val="004B0207"/>
    <w:rsid w:val="004B5701"/>
    <w:rsid w:val="004C5BFC"/>
    <w:rsid w:val="004D417F"/>
    <w:rsid w:val="004E087B"/>
    <w:rsid w:val="00502C30"/>
    <w:rsid w:val="00514761"/>
    <w:rsid w:val="00523321"/>
    <w:rsid w:val="005400B0"/>
    <w:rsid w:val="005471E3"/>
    <w:rsid w:val="00552BDC"/>
    <w:rsid w:val="00586A99"/>
    <w:rsid w:val="005B2AA0"/>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078FF"/>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44230"/>
    <w:rsid w:val="0096271B"/>
    <w:rsid w:val="00965EED"/>
    <w:rsid w:val="009A5583"/>
    <w:rsid w:val="009B169E"/>
    <w:rsid w:val="009B7373"/>
    <w:rsid w:val="009B75F2"/>
    <w:rsid w:val="009E0F3E"/>
    <w:rsid w:val="009F2267"/>
    <w:rsid w:val="00A22418"/>
    <w:rsid w:val="00A91B50"/>
    <w:rsid w:val="00AB3F11"/>
    <w:rsid w:val="00AB555C"/>
    <w:rsid w:val="00B002D8"/>
    <w:rsid w:val="00B257C2"/>
    <w:rsid w:val="00B25A5B"/>
    <w:rsid w:val="00B7203D"/>
    <w:rsid w:val="00B75D4C"/>
    <w:rsid w:val="00B928C3"/>
    <w:rsid w:val="00BA1D4E"/>
    <w:rsid w:val="00BA22EC"/>
    <w:rsid w:val="00BB1D76"/>
    <w:rsid w:val="00BE1D37"/>
    <w:rsid w:val="00BE1E8B"/>
    <w:rsid w:val="00C004EB"/>
    <w:rsid w:val="00C40E7E"/>
    <w:rsid w:val="00C43DE9"/>
    <w:rsid w:val="00C64353"/>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D4F80"/>
    <w:rsid w:val="00DF7283"/>
    <w:rsid w:val="00E16D5E"/>
    <w:rsid w:val="00E27B61"/>
    <w:rsid w:val="00E36028"/>
    <w:rsid w:val="00E4676B"/>
    <w:rsid w:val="00E720B3"/>
    <w:rsid w:val="00E72D6B"/>
    <w:rsid w:val="00E74552"/>
    <w:rsid w:val="00EA30B1"/>
    <w:rsid w:val="00EB1DAB"/>
    <w:rsid w:val="00EC001A"/>
    <w:rsid w:val="00EC75B4"/>
    <w:rsid w:val="00EF28F1"/>
    <w:rsid w:val="00F22CDB"/>
    <w:rsid w:val="00F23641"/>
    <w:rsid w:val="00F24BA3"/>
    <w:rsid w:val="00FB746A"/>
    <w:rsid w:val="00FC3432"/>
    <w:rsid w:val="00FD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D75A-F549-45A7-87BA-CCAC312C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1131</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2015-03-02T18:11:00Z</dcterms:created>
  <dcterms:modified xsi:type="dcterms:W3CDTF">2015-03-02T18:11:00Z</dcterms:modified>
</cp:coreProperties>
</file>