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7702C1" w:rsidP="007702C1">
      <w:pPr>
        <w:tabs>
          <w:tab w:val="left" w:pos="-720"/>
        </w:tabs>
        <w:jc w:val="right"/>
        <w:rPr>
          <w:rFonts w:ascii="Times New Roman" w:hAnsi="Times New Roman"/>
          <w:b/>
        </w:rPr>
      </w:pPr>
      <w:r>
        <w:rPr>
          <w:rFonts w:ascii="Times New Roman" w:hAnsi="Times New Roman"/>
          <w:b/>
        </w:rPr>
        <w:t>15-033</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357C9">
        <w:rPr>
          <w:rFonts w:ascii="Times New Roman" w:hAnsi="Times New Roman"/>
          <w:szCs w:val="24"/>
        </w:rPr>
        <w:t>X</w:t>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340985">
        <w:rPr>
          <w:rFonts w:ascii="Times New Roman" w:hAnsi="Times New Roman"/>
          <w:b/>
        </w:rPr>
        <w:t>3103.5</w:t>
      </w:r>
      <w:r w:rsidR="00514761">
        <w:rPr>
          <w:rFonts w:ascii="Times New Roman" w:hAnsi="Times New Roman"/>
          <w:b/>
        </w:rPr>
        <w:t xml:space="preserve">   </w:t>
      </w:r>
      <w:r>
        <w:rPr>
          <w:rFonts w:ascii="Times New Roman" w:hAnsi="Times New Roman"/>
          <w:b/>
        </w:rPr>
        <w:tab/>
      </w:r>
    </w:p>
    <w:p w:rsidR="00243532" w:rsidRPr="00243532" w:rsidRDefault="00243532" w:rsidP="00243532">
      <w:pPr>
        <w:tabs>
          <w:tab w:val="left" w:pos="-720"/>
        </w:tabs>
        <w:rPr>
          <w:rFonts w:ascii="Times New Roman" w:hAnsi="Times New Roman"/>
          <w:b/>
          <w:sz w:val="20"/>
        </w:rPr>
      </w:pPr>
      <w:r w:rsidRPr="007464D5">
        <w:rPr>
          <w:rFonts w:ascii="Times New Roman" w:hAnsi="Times New Roman"/>
          <w:b/>
          <w:szCs w:val="24"/>
        </w:rPr>
        <w:tab/>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340985">
        <w:rPr>
          <w:rFonts w:ascii="Times New Roman" w:hAnsi="Times New Roman"/>
          <w:b/>
        </w:rPr>
        <w:t>Use period (for temporary structures)</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674296">
        <w:rPr>
          <w:rFonts w:ascii="Times New Roman" w:hAnsi="Times New Roman"/>
          <w:b/>
        </w:rPr>
        <w:t xml:space="preserve">Washington Association of Building Officials </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674296">
        <w:rPr>
          <w:rFonts w:ascii="Times New Roman" w:hAnsi="Times New Roman"/>
          <w:b/>
        </w:rPr>
        <w:tab/>
      </w:r>
      <w:r w:rsidR="007C7F98">
        <w:rPr>
          <w:rFonts w:ascii="Times New Roman" w:hAnsi="Times New Roman"/>
          <w:b/>
        </w:rPr>
        <w:t>February 25,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674296">
        <w:rPr>
          <w:rFonts w:ascii="Times New Roman" w:hAnsi="Times New Roman"/>
          <w:b/>
        </w:rPr>
        <w:t>Maureen Traxler</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674296">
        <w:rPr>
          <w:rFonts w:ascii="Times New Roman" w:hAnsi="Times New Roman"/>
          <w:b/>
        </w:rPr>
        <w:t xml:space="preserve">  Code development manager</w:t>
      </w:r>
    </w:p>
    <w:p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74296">
        <w:rPr>
          <w:rFonts w:ascii="Times New Roman" w:hAnsi="Times New Roman"/>
          <w:b/>
        </w:rPr>
        <w:t>700 5</w:t>
      </w:r>
      <w:r w:rsidR="00674296" w:rsidRPr="00674296">
        <w:rPr>
          <w:rFonts w:ascii="Times New Roman" w:hAnsi="Times New Roman"/>
          <w:b/>
          <w:vertAlign w:val="superscript"/>
        </w:rPr>
        <w:t>th</w:t>
      </w:r>
      <w:r w:rsidR="00674296">
        <w:rPr>
          <w:rFonts w:ascii="Times New Roman" w:hAnsi="Times New Roman"/>
          <w:b/>
        </w:rPr>
        <w:t xml:space="preserve"> Ave, #2000</w:t>
      </w:r>
    </w:p>
    <w:p w:rsidR="00674296" w:rsidRDefault="00674296"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t xml:space="preserve">      PO Box 34019</w:t>
      </w:r>
    </w:p>
    <w:p w:rsidR="00B7203D" w:rsidRDefault="00674296" w:rsidP="00BB1D76">
      <w:pPr>
        <w:tabs>
          <w:tab w:val="left" w:pos="-720"/>
          <w:tab w:val="left" w:pos="0"/>
          <w:tab w:val="left" w:pos="720"/>
        </w:tabs>
        <w:ind w:left="1440" w:hanging="1440"/>
        <w:rPr>
          <w:rFonts w:ascii="Times New Roman" w:hAnsi="Times New Roman"/>
        </w:rPr>
      </w:pPr>
      <w:r>
        <w:rPr>
          <w:rFonts w:ascii="Times New Roman" w:hAnsi="Times New Roman"/>
        </w:rPr>
        <w:tab/>
      </w:r>
      <w:r>
        <w:rPr>
          <w:rFonts w:ascii="Times New Roman" w:hAnsi="Times New Roman"/>
        </w:rPr>
        <w:tab/>
        <w:t xml:space="preserve">      Seattle, WA 98124-4019</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674296">
        <w:rPr>
          <w:rFonts w:ascii="Times New Roman" w:hAnsi="Times New Roman"/>
          <w:b/>
        </w:rPr>
        <w:t>206-233-3892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74296">
        <w:rPr>
          <w:rFonts w:ascii="Times New Roman" w:hAnsi="Times New Roman"/>
          <w:b/>
        </w:rPr>
        <w:t>maureen.traxler@seattle.gov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340985">
        <w:rPr>
          <w:rFonts w:ascii="Times New Roman" w:hAnsi="Times New Roman"/>
        </w:rPr>
        <w:t>International Fire Code</w:t>
      </w:r>
      <w:r w:rsidR="00340985">
        <w:rPr>
          <w:rFonts w:ascii="Times New Roman" w:hAnsi="Times New Roman"/>
        </w:rPr>
        <w:tab/>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340985">
        <w:rPr>
          <w:rFonts w:ascii="Times New Roman" w:hAnsi="Times New Roman"/>
        </w:rPr>
        <w:t>3103.5</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340985" w:rsidRDefault="00340985" w:rsidP="00FB746A">
      <w:pPr>
        <w:tabs>
          <w:tab w:val="left" w:pos="-720"/>
        </w:tabs>
        <w:rPr>
          <w:rFonts w:ascii="Times New Roman" w:hAnsi="Times New Roman"/>
        </w:rPr>
      </w:pPr>
    </w:p>
    <w:p w:rsidR="0072394F" w:rsidRPr="00340985" w:rsidRDefault="00340985" w:rsidP="00340985">
      <w:pPr>
        <w:autoSpaceDE w:val="0"/>
        <w:autoSpaceDN w:val="0"/>
        <w:adjustRightInd w:val="0"/>
        <w:ind w:left="360"/>
        <w:rPr>
          <w:rFonts w:ascii="Times New Roman" w:hAnsi="Times New Roman"/>
          <w:szCs w:val="24"/>
        </w:rPr>
      </w:pPr>
      <w:r w:rsidRPr="00340985">
        <w:rPr>
          <w:rFonts w:ascii="TimesNewRoman,Bold" w:eastAsiaTheme="minorHAnsi" w:hAnsi="TimesNewRoman,Bold" w:cs="TimesNewRoman,Bold"/>
          <w:b/>
          <w:bCs/>
          <w:szCs w:val="24"/>
        </w:rPr>
        <w:t>3103.5 Use period</w:t>
      </w:r>
      <w:r w:rsidRPr="00340985">
        <w:rPr>
          <w:rFonts w:ascii="Times New Roman" w:eastAsiaTheme="minorHAnsi" w:hAnsi="Times New Roman"/>
          <w:b/>
          <w:bCs/>
          <w:szCs w:val="24"/>
        </w:rPr>
        <w:t xml:space="preserve">. </w:t>
      </w:r>
      <w:r w:rsidRPr="00340985">
        <w:rPr>
          <w:rFonts w:ascii="Times New Roman" w:eastAsiaTheme="minorHAnsi" w:hAnsi="Times New Roman"/>
          <w:szCs w:val="24"/>
        </w:rPr>
        <w:t xml:space="preserve">Temporary tents, air-supported, air-inflated or tensioned membrane structures </w:t>
      </w:r>
      <w:r w:rsidRPr="001B20D7">
        <w:rPr>
          <w:rFonts w:ascii="Times New Roman" w:eastAsiaTheme="minorHAnsi" w:hAnsi="Times New Roman"/>
          <w:strike/>
          <w:szCs w:val="24"/>
        </w:rPr>
        <w:t>shall</w:t>
      </w:r>
      <w:r w:rsidRPr="00340985">
        <w:rPr>
          <w:rFonts w:ascii="Times New Roman" w:eastAsiaTheme="minorHAnsi" w:hAnsi="Times New Roman"/>
          <w:szCs w:val="24"/>
        </w:rPr>
        <w:t xml:space="preserve"> </w:t>
      </w:r>
      <w:r w:rsidRPr="00340985">
        <w:rPr>
          <w:rFonts w:ascii="Times New Roman" w:eastAsiaTheme="minorHAnsi" w:hAnsi="Times New Roman"/>
          <w:strike/>
          <w:szCs w:val="24"/>
        </w:rPr>
        <w:t>not</w:t>
      </w:r>
      <w:r w:rsidRPr="00340985">
        <w:rPr>
          <w:rFonts w:ascii="Times New Roman" w:eastAsiaTheme="minorHAnsi" w:hAnsi="Times New Roman"/>
          <w:szCs w:val="24"/>
        </w:rPr>
        <w:t xml:space="preserve"> </w:t>
      </w:r>
      <w:r w:rsidR="001B20D7" w:rsidRPr="001B20D7">
        <w:rPr>
          <w:rFonts w:ascii="Times New Roman" w:eastAsiaTheme="minorHAnsi" w:hAnsi="Times New Roman"/>
          <w:szCs w:val="24"/>
          <w:u w:val="single"/>
        </w:rPr>
        <w:t>are</w:t>
      </w:r>
      <w:r w:rsidR="001B20D7">
        <w:rPr>
          <w:rFonts w:ascii="Times New Roman" w:eastAsiaTheme="minorHAnsi" w:hAnsi="Times New Roman"/>
          <w:szCs w:val="24"/>
        </w:rPr>
        <w:t xml:space="preserve"> </w:t>
      </w:r>
      <w:r w:rsidRPr="00340985">
        <w:rPr>
          <w:rFonts w:ascii="Times New Roman" w:hAnsi="Times New Roman"/>
          <w:szCs w:val="24"/>
          <w:u w:val="single"/>
        </w:rPr>
        <w:t xml:space="preserve">permitted to </w:t>
      </w:r>
      <w:r w:rsidRPr="00340985">
        <w:rPr>
          <w:rFonts w:ascii="Times New Roman" w:eastAsiaTheme="minorHAnsi" w:hAnsi="Times New Roman"/>
          <w:szCs w:val="24"/>
        </w:rPr>
        <w:t xml:space="preserve">be erected for a period of </w:t>
      </w:r>
      <w:r w:rsidRPr="00705C36">
        <w:rPr>
          <w:rFonts w:ascii="Times New Roman" w:eastAsiaTheme="minorHAnsi" w:hAnsi="Times New Roman"/>
          <w:strike/>
          <w:szCs w:val="24"/>
        </w:rPr>
        <w:t>more</w:t>
      </w:r>
      <w:r w:rsidRPr="0008597F">
        <w:rPr>
          <w:rFonts w:ascii="Times New Roman" w:eastAsiaTheme="minorHAnsi" w:hAnsi="Times New Roman"/>
          <w:szCs w:val="24"/>
        </w:rPr>
        <w:t xml:space="preserve"> </w:t>
      </w:r>
      <w:r w:rsidR="00705C36" w:rsidRPr="00705C36">
        <w:rPr>
          <w:rFonts w:ascii="Times New Roman" w:eastAsiaTheme="minorHAnsi" w:hAnsi="Times New Roman"/>
          <w:szCs w:val="24"/>
          <w:u w:val="single"/>
        </w:rPr>
        <w:t>less</w:t>
      </w:r>
      <w:r w:rsidR="00705C36">
        <w:rPr>
          <w:rFonts w:ascii="Times New Roman" w:eastAsiaTheme="minorHAnsi" w:hAnsi="Times New Roman"/>
          <w:szCs w:val="24"/>
        </w:rPr>
        <w:t xml:space="preserve"> </w:t>
      </w:r>
      <w:r w:rsidRPr="0008597F">
        <w:rPr>
          <w:rFonts w:ascii="Times New Roman" w:eastAsiaTheme="minorHAnsi" w:hAnsi="Times New Roman"/>
          <w:szCs w:val="24"/>
        </w:rPr>
        <w:t>than</w:t>
      </w:r>
      <w:r w:rsidRPr="00340985">
        <w:rPr>
          <w:rFonts w:ascii="Times New Roman" w:eastAsiaTheme="minorHAnsi" w:hAnsi="Times New Roman"/>
          <w:szCs w:val="24"/>
        </w:rPr>
        <w:t xml:space="preserve"> 180 days</w:t>
      </w:r>
      <w:r>
        <w:rPr>
          <w:rFonts w:ascii="Times New Roman" w:eastAsiaTheme="minorHAnsi" w:hAnsi="Times New Roman"/>
          <w:szCs w:val="24"/>
        </w:rPr>
        <w:t xml:space="preserve"> </w:t>
      </w:r>
      <w:r w:rsidRPr="00340985">
        <w:rPr>
          <w:rFonts w:ascii="Times New Roman" w:eastAsiaTheme="minorHAnsi" w:hAnsi="Times New Roman"/>
          <w:szCs w:val="24"/>
        </w:rPr>
        <w:t xml:space="preserve">within a 12-month period </w:t>
      </w:r>
      <w:proofErr w:type="gramStart"/>
      <w:r w:rsidRPr="00340985">
        <w:rPr>
          <w:rFonts w:ascii="Times New Roman" w:eastAsiaTheme="minorHAnsi" w:hAnsi="Times New Roman"/>
          <w:szCs w:val="24"/>
        </w:rPr>
        <w:t>on a single premises</w:t>
      </w:r>
      <w:proofErr w:type="gramEnd"/>
      <w:r w:rsidRPr="00340985">
        <w:rPr>
          <w:rFonts w:ascii="Times New Roman" w:eastAsiaTheme="minorHAnsi" w:hAnsi="Times New Roman"/>
          <w:szCs w:val="24"/>
        </w:rPr>
        <w:t xml:space="preserve">. </w:t>
      </w:r>
      <w:r w:rsidRPr="00340985">
        <w:rPr>
          <w:rFonts w:ascii="Times New Roman" w:hAnsi="Times New Roman"/>
          <w:szCs w:val="24"/>
          <w:u w:val="single"/>
        </w:rPr>
        <w:t>Such structures erected for</w:t>
      </w:r>
      <w:r>
        <w:rPr>
          <w:rFonts w:ascii="Times New Roman" w:hAnsi="Times New Roman"/>
          <w:szCs w:val="24"/>
          <w:u w:val="single"/>
        </w:rPr>
        <w:t xml:space="preserve"> </w:t>
      </w:r>
      <w:r w:rsidRPr="00340985">
        <w:rPr>
          <w:rFonts w:ascii="Times New Roman" w:hAnsi="Times New Roman"/>
          <w:szCs w:val="24"/>
          <w:u w:val="single"/>
        </w:rPr>
        <w:t xml:space="preserve">180 days </w:t>
      </w:r>
      <w:r w:rsidR="0008597F">
        <w:rPr>
          <w:rFonts w:ascii="Times New Roman" w:hAnsi="Times New Roman"/>
          <w:szCs w:val="24"/>
          <w:u w:val="single"/>
        </w:rPr>
        <w:t xml:space="preserve">or more </w:t>
      </w:r>
      <w:r w:rsidR="001B20D7">
        <w:rPr>
          <w:rFonts w:ascii="Times New Roman" w:hAnsi="Times New Roman"/>
          <w:szCs w:val="24"/>
          <w:u w:val="single"/>
        </w:rPr>
        <w:t xml:space="preserve">within a 12-month period </w:t>
      </w:r>
      <w:r w:rsidRPr="00340985">
        <w:rPr>
          <w:rFonts w:ascii="Times New Roman" w:hAnsi="Times New Roman"/>
          <w:szCs w:val="24"/>
          <w:u w:val="single"/>
        </w:rPr>
        <w:t>shall comply with the IBC.</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w:t>
      </w:r>
    </w:p>
    <w:p w:rsidR="0008597F" w:rsidRDefault="0008597F" w:rsidP="0008597F"/>
    <w:p w:rsidR="0008597F" w:rsidRDefault="0008597F" w:rsidP="0008597F">
      <w:r>
        <w:t xml:space="preserve">IBC </w:t>
      </w:r>
      <w:r w:rsidR="00705C36">
        <w:t xml:space="preserve">Section 3103.1 </w:t>
      </w:r>
      <w:r>
        <w:t xml:space="preserve">directs us to the IFC for </w:t>
      </w:r>
      <w:r w:rsidR="00705C36">
        <w:t xml:space="preserve">provisions that </w:t>
      </w:r>
      <w:r>
        <w:t xml:space="preserve">apply to tents and membrane structures </w:t>
      </w:r>
      <w:r w:rsidR="00705C36">
        <w:t>“</w:t>
      </w:r>
      <w:r>
        <w:t xml:space="preserve">erected for </w:t>
      </w:r>
      <w:r w:rsidR="00705C36">
        <w:t>a period</w:t>
      </w:r>
      <w:r>
        <w:t xml:space="preserve"> </w:t>
      </w:r>
      <w:r w:rsidR="00705C36">
        <w:t>less than 180</w:t>
      </w:r>
      <w:r>
        <w:t xml:space="preserve"> days.</w:t>
      </w:r>
      <w:r w:rsidR="00705C36">
        <w:t xml:space="preserve">” </w:t>
      </w:r>
      <w:r>
        <w:t xml:space="preserve"> But IFC </w:t>
      </w:r>
      <w:r w:rsidR="00F36DC6">
        <w:t xml:space="preserve">Section 3103.5 </w:t>
      </w:r>
      <w:r>
        <w:t xml:space="preserve">says it applies to tents and membrane structures </w:t>
      </w:r>
      <w:r w:rsidR="00F36DC6">
        <w:t xml:space="preserve">erected </w:t>
      </w:r>
      <w:r>
        <w:t>for up to and including day 180</w:t>
      </w:r>
      <w:r w:rsidR="00F36DC6">
        <w:t xml:space="preserve"> (“… shall not be erected for a period of more than 180 days…”)</w:t>
      </w:r>
      <w:r>
        <w:t xml:space="preserve"> </w:t>
      </w:r>
      <w:proofErr w:type="gramStart"/>
      <w:r>
        <w:t>The</w:t>
      </w:r>
      <w:proofErr w:type="gramEnd"/>
      <w:r>
        <w:t xml:space="preserve"> wording is conflicting for day 180. Tents erected for 180 days or more are regulated by the IBC not IFC.</w:t>
      </w:r>
    </w:p>
    <w:p w:rsidR="0008597F" w:rsidRDefault="0008597F" w:rsidP="0008597F"/>
    <w:p w:rsidR="0008597F" w:rsidRDefault="0008597F" w:rsidP="0008597F">
      <w:r>
        <w:t xml:space="preserve">To be accurate according to what the IBC requires the IFC should say “Temporary tents, air-inflated or tensioned membrane structures shall not be erected for a period of more than </w:t>
      </w:r>
      <w:r w:rsidRPr="0008597F">
        <w:rPr>
          <w:u w:val="single"/>
        </w:rPr>
        <w:t>179 days</w:t>
      </w:r>
      <w:r>
        <w:t xml:space="preserve"> within a 12-month period on a single premise.” </w:t>
      </w:r>
    </w:p>
    <w:p w:rsidR="00340985" w:rsidRPr="00B75D4C" w:rsidRDefault="00340985" w:rsidP="00340985">
      <w:pPr>
        <w:pStyle w:val="ListParagraph"/>
        <w:rPr>
          <w:rFonts w:ascii="Times New Roman" w:hAnsi="Times New Roman"/>
          <w:szCs w:val="24"/>
        </w:rPr>
      </w:pP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7702C1">
        <w:rPr>
          <w:rFonts w:ascii="Times New Roman" w:hAnsi="Times New Roman"/>
          <w:sz w:val="24"/>
          <w:szCs w:val="24"/>
        </w:rPr>
      </w:r>
      <w:r w:rsidR="007702C1">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702C1">
        <w:rPr>
          <w:rFonts w:ascii="Times New Roman" w:hAnsi="Times New Roman"/>
          <w:sz w:val="24"/>
          <w:szCs w:val="24"/>
        </w:rPr>
      </w:r>
      <w:r w:rsidR="007702C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702C1">
        <w:rPr>
          <w:rFonts w:ascii="Times New Roman" w:hAnsi="Times New Roman"/>
          <w:sz w:val="24"/>
          <w:szCs w:val="24"/>
        </w:rPr>
      </w:r>
      <w:r w:rsidR="007702C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702C1">
        <w:rPr>
          <w:rFonts w:ascii="Times New Roman" w:hAnsi="Times New Roman"/>
          <w:sz w:val="24"/>
          <w:szCs w:val="24"/>
        </w:rPr>
      </w:r>
      <w:r w:rsidR="007702C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340985" w:rsidP="00B75D4C">
      <w:pPr>
        <w:tabs>
          <w:tab w:val="left" w:pos="-720"/>
          <w:tab w:val="left" w:pos="0"/>
          <w:tab w:val="left" w:pos="720"/>
        </w:tabs>
        <w:ind w:left="1080"/>
        <w:rPr>
          <w:rFonts w:ascii="Times New Roman" w:hAnsi="Times New Roman"/>
          <w:szCs w:val="24"/>
        </w:rPr>
      </w:pPr>
      <w:r>
        <w:rPr>
          <w:rFonts w:ascii="Times New Roman" w:hAnsi="Times New Roman"/>
          <w:szCs w:val="24"/>
        </w:rPr>
        <w:t>X</w:t>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7702C1">
        <w:rPr>
          <w:rFonts w:ascii="Times New Roman" w:hAnsi="Times New Roman"/>
          <w:szCs w:val="24"/>
        </w:rPr>
      </w:r>
      <w:r w:rsidR="007702C1">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340985">
        <w:rPr>
          <w:rFonts w:ascii="Times New Roman" w:hAnsi="Times New Roman"/>
          <w:szCs w:val="24"/>
        </w:rPr>
        <w:t>X</w:t>
      </w:r>
      <w:r w:rsidR="00873296" w:rsidRPr="0087578E">
        <w:rPr>
          <w:rFonts w:ascii="Times New Roman" w:hAnsi="Times New Roman"/>
          <w:szCs w:val="24"/>
        </w:rPr>
        <w:t xml:space="preserve"> </w:t>
      </w:r>
      <w:r w:rsidR="00771BC9">
        <w:rPr>
          <w:rFonts w:ascii="Times New Roman" w:hAnsi="Times New Roman"/>
          <w:szCs w:val="24"/>
        </w:rPr>
        <w:t>No</w:t>
      </w:r>
    </w:p>
    <w:p w:rsidR="001B20D7" w:rsidRDefault="001B20D7" w:rsidP="00E16D5E">
      <w:pPr>
        <w:ind w:left="720"/>
        <w:rPr>
          <w:rFonts w:ascii="Times New Roman" w:hAnsi="Times New Roman"/>
          <w:szCs w:val="24"/>
        </w:rPr>
      </w:pP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1B20D7">
        <w:rPr>
          <w:rFonts w:ascii="Times New Roman" w:hAnsi="Times New Roman"/>
          <w:szCs w:val="24"/>
        </w:rPr>
        <w:t>This proposal resolves an inconsistency between 2 codes.</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7E" w:rsidRDefault="00FC627E" w:rsidP="00110F55">
      <w:r>
        <w:separator/>
      </w:r>
    </w:p>
  </w:endnote>
  <w:endnote w:type="continuationSeparator" w:id="0">
    <w:p w:rsidR="00FC627E" w:rsidRDefault="00FC627E"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702C1">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702C1">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7E" w:rsidRDefault="00FC627E" w:rsidP="00110F55">
      <w:r>
        <w:separator/>
      </w:r>
    </w:p>
  </w:footnote>
  <w:footnote w:type="continuationSeparator" w:id="0">
    <w:p w:rsidR="00FC627E" w:rsidRDefault="00FC627E"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64849"/>
    <w:rsid w:val="00075F76"/>
    <w:rsid w:val="00082B95"/>
    <w:rsid w:val="000835B8"/>
    <w:rsid w:val="0008597F"/>
    <w:rsid w:val="0008710D"/>
    <w:rsid w:val="000C25C1"/>
    <w:rsid w:val="000F53B4"/>
    <w:rsid w:val="000F721F"/>
    <w:rsid w:val="00110F55"/>
    <w:rsid w:val="00133212"/>
    <w:rsid w:val="0016341B"/>
    <w:rsid w:val="00180891"/>
    <w:rsid w:val="001B20D7"/>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0985"/>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74296"/>
    <w:rsid w:val="00684BD7"/>
    <w:rsid w:val="00690B56"/>
    <w:rsid w:val="006A706F"/>
    <w:rsid w:val="006B12E1"/>
    <w:rsid w:val="006B7688"/>
    <w:rsid w:val="006B782D"/>
    <w:rsid w:val="006D0826"/>
    <w:rsid w:val="006D08D9"/>
    <w:rsid w:val="00705C36"/>
    <w:rsid w:val="007100B9"/>
    <w:rsid w:val="0071704D"/>
    <w:rsid w:val="0072082E"/>
    <w:rsid w:val="0072394F"/>
    <w:rsid w:val="007464D5"/>
    <w:rsid w:val="007528A9"/>
    <w:rsid w:val="00754ECC"/>
    <w:rsid w:val="007702C1"/>
    <w:rsid w:val="00771BC9"/>
    <w:rsid w:val="007839BB"/>
    <w:rsid w:val="00790A22"/>
    <w:rsid w:val="007A5DC3"/>
    <w:rsid w:val="007C1CE4"/>
    <w:rsid w:val="007C7179"/>
    <w:rsid w:val="007C7F98"/>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9F3748"/>
    <w:rsid w:val="00A22418"/>
    <w:rsid w:val="00A91B50"/>
    <w:rsid w:val="00AB3F11"/>
    <w:rsid w:val="00AB555C"/>
    <w:rsid w:val="00AF276F"/>
    <w:rsid w:val="00B002D8"/>
    <w:rsid w:val="00B257C2"/>
    <w:rsid w:val="00B357C9"/>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36DC6"/>
    <w:rsid w:val="00FB746A"/>
    <w:rsid w:val="00FC3432"/>
    <w:rsid w:val="00FC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E05E-9DD9-4C12-82BF-16E791D7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2015-03-02T22:48:00Z</dcterms:created>
  <dcterms:modified xsi:type="dcterms:W3CDTF">2015-03-02T22:48:00Z</dcterms:modified>
</cp:coreProperties>
</file>