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6B31" w:rsidRDefault="003F3CDC" w:rsidP="003F3CDC">
      <w:pPr>
        <w:tabs>
          <w:tab w:val="left" w:pos="-720"/>
        </w:tabs>
        <w:jc w:val="right"/>
        <w:rPr>
          <w:rFonts w:ascii="Times New Roman" w:hAnsi="Times New Roman"/>
          <w:b/>
        </w:rPr>
      </w:pPr>
      <w:r>
        <w:rPr>
          <w:rFonts w:ascii="Times New Roman" w:hAnsi="Times New Roman"/>
          <w:b/>
        </w:rPr>
        <w:t>15-041</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1.  State Building Code to be Amended</w:t>
      </w:r>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541623">
        <w:rPr>
          <w:rFonts w:ascii="Times New Roman" w:hAnsi="Times New Roman"/>
          <w:szCs w:val="24"/>
        </w:rPr>
        <w:fldChar w:fldCharType="begin">
          <w:ffData>
            <w:name w:val=""/>
            <w:enabled/>
            <w:calcOnExit w:val="0"/>
            <w:checkBox>
              <w:sizeAuto/>
              <w:default w:val="1"/>
            </w:checkBox>
          </w:ffData>
        </w:fldChar>
      </w:r>
      <w:r w:rsidR="002A2854">
        <w:rPr>
          <w:rFonts w:ascii="Times New Roman" w:hAnsi="Times New Roman"/>
          <w:szCs w:val="24"/>
        </w:rPr>
        <w:instrText xml:space="preserve"> FORMCHECKBOX </w:instrText>
      </w:r>
      <w:r w:rsidR="0058144F">
        <w:rPr>
          <w:rFonts w:ascii="Times New Roman" w:hAnsi="Times New Roman"/>
          <w:szCs w:val="24"/>
        </w:rPr>
      </w:r>
      <w:r w:rsidR="0058144F">
        <w:rPr>
          <w:rFonts w:ascii="Times New Roman" w:hAnsi="Times New Roman"/>
          <w:szCs w:val="24"/>
        </w:rPr>
        <w:fldChar w:fldCharType="separate"/>
      </w:r>
      <w:r w:rsidR="00541623">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54162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8144F">
        <w:rPr>
          <w:rFonts w:ascii="Times New Roman" w:hAnsi="Times New Roman"/>
          <w:szCs w:val="24"/>
        </w:rPr>
      </w:r>
      <w:r w:rsidR="0058144F">
        <w:rPr>
          <w:rFonts w:ascii="Times New Roman" w:hAnsi="Times New Roman"/>
          <w:szCs w:val="24"/>
        </w:rPr>
        <w:fldChar w:fldCharType="separate"/>
      </w:r>
      <w:r w:rsidR="00541623"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54162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8144F">
        <w:rPr>
          <w:rFonts w:ascii="Times New Roman" w:hAnsi="Times New Roman"/>
          <w:szCs w:val="24"/>
        </w:rPr>
      </w:r>
      <w:r w:rsidR="0058144F">
        <w:rPr>
          <w:rFonts w:ascii="Times New Roman" w:hAnsi="Times New Roman"/>
          <w:szCs w:val="24"/>
        </w:rPr>
        <w:fldChar w:fldCharType="separate"/>
      </w:r>
      <w:r w:rsidR="00541623"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54162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8144F">
        <w:rPr>
          <w:rFonts w:ascii="Times New Roman" w:hAnsi="Times New Roman"/>
          <w:szCs w:val="24"/>
        </w:rPr>
      </w:r>
      <w:r w:rsidR="0058144F">
        <w:rPr>
          <w:rFonts w:ascii="Times New Roman" w:hAnsi="Times New Roman"/>
          <w:szCs w:val="24"/>
        </w:rPr>
        <w:fldChar w:fldCharType="separate"/>
      </w:r>
      <w:r w:rsidR="00541623"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54162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8144F">
        <w:rPr>
          <w:rFonts w:ascii="Times New Roman" w:hAnsi="Times New Roman"/>
          <w:szCs w:val="24"/>
        </w:rPr>
      </w:r>
      <w:r w:rsidR="0058144F">
        <w:rPr>
          <w:rFonts w:ascii="Times New Roman" w:hAnsi="Times New Roman"/>
          <w:szCs w:val="24"/>
        </w:rPr>
        <w:fldChar w:fldCharType="separate"/>
      </w:r>
      <w:r w:rsidR="00541623"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54162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8144F">
        <w:rPr>
          <w:rFonts w:ascii="Times New Roman" w:hAnsi="Times New Roman"/>
          <w:szCs w:val="24"/>
        </w:rPr>
      </w:r>
      <w:r w:rsidR="0058144F">
        <w:rPr>
          <w:rFonts w:ascii="Times New Roman" w:hAnsi="Times New Roman"/>
          <w:szCs w:val="24"/>
        </w:rPr>
        <w:fldChar w:fldCharType="separate"/>
      </w:r>
      <w:r w:rsidR="00541623"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54162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8144F">
        <w:rPr>
          <w:rFonts w:ascii="Times New Roman" w:hAnsi="Times New Roman"/>
          <w:szCs w:val="24"/>
        </w:rPr>
      </w:r>
      <w:r w:rsidR="0058144F">
        <w:rPr>
          <w:rFonts w:ascii="Times New Roman" w:hAnsi="Times New Roman"/>
          <w:szCs w:val="24"/>
        </w:rPr>
        <w:fldChar w:fldCharType="separate"/>
      </w:r>
      <w:r w:rsidR="00541623"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54162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8144F">
        <w:rPr>
          <w:rFonts w:ascii="Times New Roman" w:hAnsi="Times New Roman"/>
          <w:szCs w:val="24"/>
        </w:rPr>
      </w:r>
      <w:r w:rsidR="0058144F">
        <w:rPr>
          <w:rFonts w:ascii="Times New Roman" w:hAnsi="Times New Roman"/>
          <w:szCs w:val="24"/>
        </w:rPr>
        <w:fldChar w:fldCharType="separate"/>
      </w:r>
      <w:r w:rsidR="00541623"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54162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8144F">
        <w:rPr>
          <w:rFonts w:ascii="Times New Roman" w:hAnsi="Times New Roman"/>
          <w:szCs w:val="24"/>
        </w:rPr>
      </w:r>
      <w:r w:rsidR="0058144F">
        <w:rPr>
          <w:rFonts w:ascii="Times New Roman" w:hAnsi="Times New Roman"/>
          <w:szCs w:val="24"/>
        </w:rPr>
        <w:fldChar w:fldCharType="separate"/>
      </w:r>
      <w:r w:rsidR="00541623"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54162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8144F">
        <w:rPr>
          <w:rFonts w:ascii="Times New Roman" w:hAnsi="Times New Roman"/>
          <w:szCs w:val="24"/>
        </w:rPr>
      </w:r>
      <w:r w:rsidR="0058144F">
        <w:rPr>
          <w:rFonts w:ascii="Times New Roman" w:hAnsi="Times New Roman"/>
          <w:szCs w:val="24"/>
        </w:rPr>
        <w:fldChar w:fldCharType="separate"/>
      </w:r>
      <w:r w:rsidR="00541623"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541623">
        <w:rPr>
          <w:rFonts w:ascii="Times New Roman" w:hAnsi="Times New Roman"/>
          <w:szCs w:val="24"/>
        </w:rPr>
        <w:fldChar w:fldCharType="begin">
          <w:ffData>
            <w:name w:val=""/>
            <w:enabled/>
            <w:calcOnExit w:val="0"/>
            <w:checkBox>
              <w:sizeAuto/>
              <w:default w:val="0"/>
            </w:checkBox>
          </w:ffData>
        </w:fldChar>
      </w:r>
      <w:r w:rsidR="002A2854">
        <w:rPr>
          <w:rFonts w:ascii="Times New Roman" w:hAnsi="Times New Roman"/>
          <w:szCs w:val="24"/>
        </w:rPr>
        <w:instrText xml:space="preserve"> FORMCHECKBOX </w:instrText>
      </w:r>
      <w:r w:rsidR="0058144F">
        <w:rPr>
          <w:rFonts w:ascii="Times New Roman" w:hAnsi="Times New Roman"/>
          <w:szCs w:val="24"/>
        </w:rPr>
      </w:r>
      <w:r w:rsidR="0058144F">
        <w:rPr>
          <w:rFonts w:ascii="Times New Roman" w:hAnsi="Times New Roman"/>
          <w:szCs w:val="24"/>
        </w:rPr>
        <w:fldChar w:fldCharType="separate"/>
      </w:r>
      <w:r w:rsidR="00541623">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54162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8144F">
        <w:rPr>
          <w:rFonts w:ascii="Times New Roman" w:hAnsi="Times New Roman"/>
          <w:szCs w:val="24"/>
        </w:rPr>
      </w:r>
      <w:r w:rsidR="0058144F">
        <w:rPr>
          <w:rFonts w:ascii="Times New Roman" w:hAnsi="Times New Roman"/>
          <w:szCs w:val="24"/>
        </w:rPr>
        <w:fldChar w:fldCharType="separate"/>
      </w:r>
      <w:r w:rsidR="00541623"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Pr>
          <w:rFonts w:ascii="Times New Roman" w:hAnsi="Times New Roman"/>
          <w:b/>
        </w:rPr>
        <w:tab/>
      </w:r>
    </w:p>
    <w:p w:rsidR="00243532" w:rsidRPr="008F2286" w:rsidRDefault="00243532" w:rsidP="00243532">
      <w:pPr>
        <w:tabs>
          <w:tab w:val="left" w:pos="-720"/>
        </w:tabs>
        <w:rPr>
          <w:rFonts w:ascii="Times New Roman" w:hAnsi="Times New Roman"/>
          <w:b/>
          <w:sz w:val="20"/>
        </w:rPr>
      </w:pPr>
      <w:r w:rsidRPr="007464D5">
        <w:rPr>
          <w:rFonts w:ascii="Times New Roman" w:hAnsi="Times New Roman"/>
          <w:b/>
          <w:szCs w:val="24"/>
        </w:rPr>
        <w:tab/>
      </w:r>
      <w:r w:rsidR="002A2854" w:rsidRPr="002A2854">
        <w:rPr>
          <w:rFonts w:ascii="Times New Roman" w:hAnsi="Times New Roman"/>
          <w:szCs w:val="24"/>
        </w:rPr>
        <w:t xml:space="preserve">WAC 51-50-0200 &amp; </w:t>
      </w:r>
      <w:r w:rsidR="00497E7E">
        <w:t>WAC 51-50-2902.5.1</w:t>
      </w: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r w:rsidR="007B78ED">
        <w:rPr>
          <w:rFonts w:ascii="Times New Roman" w:hAnsi="Times New Roman"/>
          <w:szCs w:val="24"/>
        </w:rPr>
        <w:t>State Building Code Adoption and Amendment of the 2012 Edition of the International Building Code</w:t>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8F2286">
        <w:rPr>
          <w:rFonts w:ascii="Times New Roman" w:hAnsi="Times New Roman"/>
          <w:b/>
        </w:rPr>
        <w:t>Victor Colman, Childhood Obesity Prevention Coalition (WA State)</w:t>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8F2286">
        <w:rPr>
          <w:rFonts w:ascii="Times New Roman" w:hAnsi="Times New Roman"/>
          <w:b/>
        </w:rPr>
        <w:tab/>
        <w:t>Director</w:t>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B439DA">
        <w:rPr>
          <w:rFonts w:ascii="Times New Roman" w:hAnsi="Times New Roman"/>
          <w:b/>
        </w:rPr>
        <w:tab/>
      </w:r>
      <w:r w:rsidR="00B439DA">
        <w:rPr>
          <w:rFonts w:ascii="Times New Roman" w:hAnsi="Times New Roman"/>
          <w:b/>
        </w:rPr>
        <w:tab/>
        <w:t>Feb. 26</w:t>
      </w:r>
      <w:r w:rsidR="008F2286">
        <w:rPr>
          <w:rFonts w:ascii="Times New Roman" w:hAnsi="Times New Roman"/>
          <w:b/>
        </w:rPr>
        <w:t>, 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8F2286">
        <w:rPr>
          <w:rFonts w:ascii="Times New Roman" w:hAnsi="Times New Roman"/>
          <w:b/>
        </w:rPr>
        <w:tab/>
        <w:t>Victor Colman</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8F2286">
        <w:rPr>
          <w:rFonts w:ascii="Times New Roman" w:hAnsi="Times New Roman"/>
          <w:b/>
        </w:rPr>
        <w:tab/>
      </w:r>
      <w:r w:rsidR="008F2286">
        <w:rPr>
          <w:rFonts w:ascii="Times New Roman" w:hAnsi="Times New Roman"/>
          <w:b/>
        </w:rPr>
        <w:tab/>
        <w:t>Director</w:t>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8F2286">
        <w:rPr>
          <w:rFonts w:ascii="Times New Roman" w:hAnsi="Times New Roman"/>
          <w:b/>
        </w:rPr>
        <w:tab/>
        <w:t>419 Third Ave. West, Seattle WA  98119</w:t>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8F2286">
        <w:rPr>
          <w:rFonts w:ascii="Times New Roman" w:hAnsi="Times New Roman"/>
          <w:b/>
        </w:rPr>
        <w:t>360.878.2543</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r w:rsidR="008F2286">
        <w:rPr>
          <w:rFonts w:ascii="Times New Roman" w:hAnsi="Times New Roman"/>
          <w:b/>
        </w:rPr>
        <w:tab/>
      </w:r>
      <w:r w:rsidR="008F2286">
        <w:rPr>
          <w:rFonts w:ascii="Times New Roman" w:hAnsi="Times New Roman"/>
          <w:b/>
        </w:rPr>
        <w:tab/>
        <w:t xml:space="preserve"> 360.878.2543</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8F2286">
        <w:rPr>
          <w:rFonts w:ascii="Times New Roman" w:hAnsi="Times New Roman"/>
          <w:b/>
        </w:rPr>
        <w:t xml:space="preserve"> </w:t>
      </w:r>
      <w:r w:rsidR="00E36028">
        <w:rPr>
          <w:rFonts w:ascii="Times New Roman" w:hAnsi="Times New Roman"/>
          <w:b/>
        </w:rPr>
        <w:t xml:space="preserve">  </w:t>
      </w:r>
      <w:hyperlink r:id="rId9" w:history="1">
        <w:r w:rsidR="008F2286" w:rsidRPr="003A2DF3">
          <w:rPr>
            <w:rStyle w:val="Hyperlink"/>
            <w:rFonts w:ascii="Times New Roman" w:hAnsi="Times New Roman"/>
            <w:b/>
          </w:rPr>
          <w:t>vicsolutions@comcast.net</w:t>
        </w:r>
      </w:hyperlink>
      <w:r w:rsidR="008F2286">
        <w:rPr>
          <w:rFonts w:ascii="Times New Roman" w:hAnsi="Times New Roman"/>
          <w:b/>
        </w:rPr>
        <w:t xml:space="preserve"> </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10" w:history="1">
        <w:r w:rsidR="003F08BE" w:rsidRPr="0092653D">
          <w:rPr>
            <w:rStyle w:val="Hyperlink"/>
            <w:rFonts w:ascii="Times New Roman" w:hAnsi="Times New Roman"/>
          </w:rPr>
          <w:t>website</w:t>
        </w:r>
      </w:hyperlink>
      <w:r w:rsidR="003F08BE">
        <w:rPr>
          <w:rFonts w:ascii="Times New Roman" w:hAnsi="Times New Roman"/>
        </w:rPr>
        <w:t>)</w:t>
      </w:r>
    </w:p>
    <w:p w:rsidR="002A2854" w:rsidRDefault="002A2854" w:rsidP="002A2854">
      <w:pPr>
        <w:tabs>
          <w:tab w:val="left" w:pos="-720"/>
          <w:tab w:val="left" w:pos="0"/>
          <w:tab w:val="left" w:pos="720"/>
        </w:tabs>
        <w:ind w:left="1440" w:hanging="1440"/>
        <w:rPr>
          <w:rFonts w:ascii="Times New Roman" w:hAnsi="Times New Roman"/>
          <w:b/>
        </w:rPr>
      </w:pPr>
    </w:p>
    <w:p w:rsidR="002A2854" w:rsidRPr="00184566" w:rsidRDefault="002A2854" w:rsidP="002A2854">
      <w:pPr>
        <w:pStyle w:val="ListParagraph"/>
        <w:numPr>
          <w:ilvl w:val="0"/>
          <w:numId w:val="10"/>
        </w:numPr>
        <w:tabs>
          <w:tab w:val="left" w:pos="-720"/>
          <w:tab w:val="left" w:pos="0"/>
          <w:tab w:val="left" w:pos="720"/>
        </w:tabs>
        <w:rPr>
          <w:rFonts w:ascii="Times New Roman" w:hAnsi="Times New Roman"/>
        </w:rPr>
      </w:pPr>
      <w:r w:rsidRPr="002A2854">
        <w:rPr>
          <w:rFonts w:ascii="Times New Roman" w:hAnsi="Times New Roman"/>
          <w:b/>
        </w:rPr>
        <w:t>Code(s)</w:t>
      </w:r>
      <w:r w:rsidRPr="002A2854">
        <w:rPr>
          <w:rFonts w:ascii="Times New Roman" w:hAnsi="Times New Roman"/>
        </w:rPr>
        <w:t xml:space="preserve"> </w:t>
      </w:r>
      <w:r w:rsidRPr="002A2854">
        <w:rPr>
          <w:rFonts w:ascii="Times New Roman" w:hAnsi="Times New Roman"/>
          <w:u w:val="single"/>
        </w:rPr>
        <w:t>51-50-0200</w:t>
      </w:r>
      <w:r w:rsidR="00184566">
        <w:rPr>
          <w:rFonts w:ascii="Times New Roman" w:hAnsi="Times New Roman"/>
        </w:rPr>
        <w:t>__________</w:t>
      </w:r>
      <w:r w:rsidRPr="002A2854">
        <w:rPr>
          <w:rFonts w:ascii="Times New Roman" w:hAnsi="Times New Roman"/>
        </w:rPr>
        <w:t xml:space="preserve">         </w:t>
      </w:r>
      <w:r w:rsidRPr="002A2854">
        <w:rPr>
          <w:rFonts w:ascii="Times New Roman" w:hAnsi="Times New Roman"/>
          <w:b/>
        </w:rPr>
        <w:t>Section(s)</w:t>
      </w:r>
      <w:r w:rsidRPr="002A2854">
        <w:rPr>
          <w:rFonts w:ascii="Times New Roman" w:hAnsi="Times New Roman"/>
        </w:rPr>
        <w:t xml:space="preserve"> _</w:t>
      </w:r>
      <w:r w:rsidRPr="002A2854">
        <w:rPr>
          <w:rFonts w:ascii="Times New Roman" w:hAnsi="Times New Roman"/>
          <w:u w:val="single"/>
        </w:rPr>
        <w:t>202 - Definitions</w:t>
      </w:r>
      <w:r w:rsidRPr="002A2854">
        <w:rPr>
          <w:rFonts w:ascii="Times New Roman" w:hAnsi="Times New Roman"/>
        </w:rPr>
        <w:t xml:space="preserve">      </w:t>
      </w:r>
    </w:p>
    <w:p w:rsidR="002A2854" w:rsidRDefault="002A2854" w:rsidP="002A2854">
      <w:pPr>
        <w:tabs>
          <w:tab w:val="left" w:pos="-720"/>
        </w:tabs>
        <w:rPr>
          <w:rFonts w:ascii="Times New Roman" w:hAnsi="Times New Roman"/>
        </w:rPr>
      </w:pPr>
      <w:r>
        <w:rPr>
          <w:rFonts w:ascii="Times New Roman" w:hAnsi="Times New Roman"/>
        </w:rPr>
        <w:tab/>
        <w:t xml:space="preserve">Enforceable code language must be used; see an example </w:t>
      </w:r>
      <w:hyperlink r:id="rId11" w:history="1">
        <w:r w:rsidRPr="004B0207">
          <w:rPr>
            <w:rStyle w:val="Hyperlink"/>
            <w:rFonts w:ascii="Times New Roman" w:hAnsi="Times New Roman"/>
          </w:rPr>
          <w:t>by clicking here</w:t>
        </w:r>
      </w:hyperlink>
      <w:r>
        <w:rPr>
          <w:rFonts w:ascii="Times New Roman" w:hAnsi="Times New Roman"/>
        </w:rPr>
        <w:t xml:space="preserve">. </w:t>
      </w:r>
    </w:p>
    <w:p w:rsidR="00C517B3" w:rsidRPr="003657C1" w:rsidRDefault="00C517B3" w:rsidP="003657C1">
      <w:pPr>
        <w:tabs>
          <w:tab w:val="left" w:pos="-720"/>
          <w:tab w:val="left" w:pos="0"/>
          <w:tab w:val="left" w:pos="720"/>
        </w:tabs>
        <w:rPr>
          <w:rFonts w:ascii="Times New Roman" w:hAnsi="Times New Roman"/>
          <w:szCs w:val="24"/>
        </w:rPr>
      </w:pPr>
    </w:p>
    <w:p w:rsidR="001339A5" w:rsidRDefault="001339A5" w:rsidP="001339A5">
      <w:pPr>
        <w:spacing w:after="120"/>
        <w:ind w:left="720"/>
        <w:rPr>
          <w:rFonts w:ascii="Times New Roman" w:hAnsi="Times New Roman"/>
        </w:rPr>
      </w:pPr>
      <w:r>
        <w:rPr>
          <w:rFonts w:ascii="Times New Roman" w:hAnsi="Times New Roman"/>
        </w:rPr>
        <w:t xml:space="preserve">Amend section to </w:t>
      </w:r>
      <w:r w:rsidR="007B78ED">
        <w:rPr>
          <w:rFonts w:ascii="Times New Roman" w:hAnsi="Times New Roman"/>
        </w:rPr>
        <w:t xml:space="preserve">add a new definition </w:t>
      </w:r>
      <w:r>
        <w:rPr>
          <w:rFonts w:ascii="Times New Roman" w:hAnsi="Times New Roman"/>
        </w:rPr>
        <w:t>as follows:</w:t>
      </w:r>
    </w:p>
    <w:p w:rsidR="001339A5" w:rsidRPr="00A17F31" w:rsidRDefault="001339A5" w:rsidP="001339A5">
      <w:pPr>
        <w:spacing w:after="120"/>
        <w:ind w:left="720"/>
        <w:rPr>
          <w:rFonts w:asciiTheme="minorHAnsi" w:hAnsiTheme="minorHAnsi" w:cstheme="minorHAnsi"/>
        </w:rPr>
      </w:pPr>
      <w:r w:rsidRPr="00A17F31">
        <w:rPr>
          <w:rFonts w:asciiTheme="minorHAnsi" w:hAnsiTheme="minorHAnsi" w:cstheme="minorHAnsi"/>
          <w:color w:val="1F497D"/>
          <w:u w:val="single"/>
        </w:rPr>
        <w:t xml:space="preserve">Bottle filling stations </w:t>
      </w:r>
      <w:r w:rsidR="00A17F31" w:rsidRPr="00A17F31">
        <w:rPr>
          <w:rFonts w:asciiTheme="minorHAnsi" w:hAnsiTheme="minorHAnsi" w:cstheme="minorHAnsi"/>
          <w:color w:val="1F497D"/>
          <w:u w:val="single"/>
        </w:rPr>
        <w:t>refers to</w:t>
      </w:r>
      <w:r w:rsidRPr="00A17F31">
        <w:rPr>
          <w:rFonts w:asciiTheme="minorHAnsi" w:hAnsiTheme="minorHAnsi" w:cstheme="minorHAnsi"/>
          <w:color w:val="1F497D"/>
          <w:u w:val="single"/>
        </w:rPr>
        <w:t xml:space="preserve"> </w:t>
      </w:r>
      <w:r w:rsidR="0004770B">
        <w:rPr>
          <w:rFonts w:asciiTheme="minorHAnsi" w:hAnsiTheme="minorHAnsi" w:cstheme="minorHAnsi"/>
          <w:color w:val="1F497D"/>
          <w:u w:val="single"/>
        </w:rPr>
        <w:t>a plumbing fixture</w:t>
      </w:r>
      <w:r w:rsidRPr="00A17F31">
        <w:rPr>
          <w:rFonts w:asciiTheme="minorHAnsi" w:hAnsiTheme="minorHAnsi" w:cstheme="minorHAnsi"/>
          <w:color w:val="1F497D"/>
          <w:u w:val="single"/>
        </w:rPr>
        <w:t xml:space="preserve"> </w:t>
      </w:r>
      <w:r w:rsidR="0004770B">
        <w:rPr>
          <w:rFonts w:asciiTheme="minorHAnsi" w:hAnsiTheme="minorHAnsi" w:cstheme="minorHAnsi"/>
          <w:color w:val="1F497D"/>
          <w:u w:val="single"/>
        </w:rPr>
        <w:t xml:space="preserve">connected to the potable water distribution system and sanitary drain system that is designed and intended for filling personal use drinking water bottles or containers not less than 10 inches (254 mm) in height. Such fixtures </w:t>
      </w:r>
      <w:r w:rsidRPr="00A17F31">
        <w:rPr>
          <w:rFonts w:asciiTheme="minorHAnsi" w:hAnsiTheme="minorHAnsi" w:cstheme="minorHAnsi"/>
          <w:color w:val="1F497D"/>
          <w:u w:val="single"/>
        </w:rPr>
        <w:t xml:space="preserve">can be </w:t>
      </w:r>
      <w:r w:rsidR="00A17F31" w:rsidRPr="00A17F31">
        <w:rPr>
          <w:rFonts w:asciiTheme="minorHAnsi" w:hAnsiTheme="minorHAnsi" w:cstheme="minorHAnsi"/>
          <w:color w:val="1F497D"/>
          <w:u w:val="single"/>
        </w:rPr>
        <w:t xml:space="preserve">either </w:t>
      </w:r>
      <w:r w:rsidRPr="00A17F31">
        <w:rPr>
          <w:rFonts w:asciiTheme="minorHAnsi" w:hAnsiTheme="minorHAnsi" w:cstheme="minorHAnsi"/>
          <w:color w:val="1F497D"/>
          <w:u w:val="single"/>
        </w:rPr>
        <w:t>separate from or integral to a drinking fountain and can incorporate a water filter and a cooling system for chilling the drinking water.</w:t>
      </w:r>
      <w:r w:rsidRPr="00A17F31">
        <w:rPr>
          <w:rFonts w:asciiTheme="minorHAnsi" w:hAnsiTheme="minorHAnsi" w:cstheme="minorHAnsi"/>
          <w:color w:val="1F497D"/>
        </w:rPr>
        <w:t> </w:t>
      </w:r>
    </w:p>
    <w:p w:rsidR="001339A5" w:rsidRPr="00D17C4C" w:rsidRDefault="001339A5" w:rsidP="001339A5">
      <w:pPr>
        <w:tabs>
          <w:tab w:val="left" w:pos="-720"/>
          <w:tab w:val="left" w:pos="0"/>
        </w:tabs>
        <w:ind w:left="720" w:hanging="720"/>
        <w:rPr>
          <w:rFonts w:ascii="Times New Roman" w:hAnsi="Times New Roman"/>
        </w:rPr>
      </w:pPr>
    </w:p>
    <w:p w:rsidR="001339A5" w:rsidRPr="00184566" w:rsidRDefault="001339A5" w:rsidP="001339A5">
      <w:pPr>
        <w:pStyle w:val="ListParagraph"/>
        <w:numPr>
          <w:ilvl w:val="0"/>
          <w:numId w:val="10"/>
        </w:numPr>
        <w:tabs>
          <w:tab w:val="left" w:pos="-720"/>
          <w:tab w:val="left" w:pos="0"/>
          <w:tab w:val="left" w:pos="720"/>
        </w:tabs>
        <w:rPr>
          <w:rFonts w:ascii="Times New Roman" w:hAnsi="Times New Roman"/>
        </w:rPr>
      </w:pPr>
      <w:r w:rsidRPr="002A2854">
        <w:rPr>
          <w:rFonts w:ascii="Times New Roman" w:hAnsi="Times New Roman"/>
          <w:b/>
        </w:rPr>
        <w:t>Code(s)</w:t>
      </w:r>
      <w:r w:rsidRPr="002A2854">
        <w:rPr>
          <w:rFonts w:ascii="Times New Roman" w:hAnsi="Times New Roman"/>
        </w:rPr>
        <w:t xml:space="preserve"> </w:t>
      </w:r>
      <w:r w:rsidRPr="002A2854">
        <w:rPr>
          <w:rFonts w:ascii="Times New Roman" w:hAnsi="Times New Roman"/>
          <w:u w:val="single"/>
        </w:rPr>
        <w:t>51-50-2902.5.1</w:t>
      </w:r>
      <w:r>
        <w:rPr>
          <w:rFonts w:ascii="Times New Roman" w:hAnsi="Times New Roman"/>
        </w:rPr>
        <w:t>________</w:t>
      </w:r>
      <w:r w:rsidRPr="002A2854">
        <w:rPr>
          <w:rFonts w:ascii="Times New Roman" w:hAnsi="Times New Roman"/>
        </w:rPr>
        <w:t xml:space="preserve">        </w:t>
      </w:r>
      <w:r w:rsidRPr="002A2854">
        <w:rPr>
          <w:rFonts w:ascii="Times New Roman" w:hAnsi="Times New Roman"/>
          <w:b/>
        </w:rPr>
        <w:t>Section(s)</w:t>
      </w:r>
      <w:r w:rsidRPr="002A2854">
        <w:rPr>
          <w:rFonts w:ascii="Times New Roman" w:hAnsi="Times New Roman"/>
        </w:rPr>
        <w:t xml:space="preserve"> </w:t>
      </w:r>
    </w:p>
    <w:p w:rsidR="001339A5" w:rsidRDefault="001339A5" w:rsidP="001339A5">
      <w:pPr>
        <w:tabs>
          <w:tab w:val="left" w:pos="-720"/>
        </w:tabs>
        <w:rPr>
          <w:rFonts w:ascii="Times New Roman" w:hAnsi="Times New Roman"/>
        </w:rPr>
      </w:pPr>
      <w:r>
        <w:rPr>
          <w:rFonts w:ascii="Times New Roman" w:hAnsi="Times New Roman"/>
        </w:rPr>
        <w:tab/>
        <w:t xml:space="preserve">Enforceable code language must be used; see an example </w:t>
      </w:r>
      <w:hyperlink r:id="rId12" w:history="1">
        <w:r w:rsidRPr="004B0207">
          <w:rPr>
            <w:rStyle w:val="Hyperlink"/>
            <w:rFonts w:ascii="Times New Roman" w:hAnsi="Times New Roman"/>
          </w:rPr>
          <w:t>by clicking here</w:t>
        </w:r>
      </w:hyperlink>
      <w:r>
        <w:rPr>
          <w:rFonts w:ascii="Times New Roman" w:hAnsi="Times New Roman"/>
        </w:rPr>
        <w:t xml:space="preserve">. </w:t>
      </w:r>
    </w:p>
    <w:p w:rsidR="001339A5" w:rsidRDefault="001339A5" w:rsidP="001339A5">
      <w:pPr>
        <w:tabs>
          <w:tab w:val="left" w:pos="-720"/>
        </w:tabs>
        <w:spacing w:after="120"/>
        <w:rPr>
          <w:rFonts w:ascii="Times New Roman" w:hAnsi="Times New Roman"/>
        </w:rPr>
      </w:pPr>
      <w:r>
        <w:rPr>
          <w:rFonts w:ascii="Times New Roman" w:hAnsi="Times New Roman"/>
        </w:rPr>
        <w:tab/>
        <w:t>Amend section to read as follows:</w:t>
      </w:r>
    </w:p>
    <w:p w:rsidR="001339A5" w:rsidRPr="00A17F31" w:rsidRDefault="001339A5" w:rsidP="001339A5">
      <w:pPr>
        <w:ind w:left="720"/>
        <w:rPr>
          <w:rFonts w:asciiTheme="minorHAnsi" w:hAnsiTheme="minorHAnsi" w:cstheme="minorHAnsi"/>
          <w:b/>
        </w:rPr>
      </w:pPr>
      <w:r w:rsidRPr="00A17F31">
        <w:rPr>
          <w:rFonts w:asciiTheme="minorHAnsi" w:hAnsiTheme="minorHAnsi" w:cstheme="minorHAnsi"/>
          <w:b/>
        </w:rPr>
        <w:t xml:space="preserve">Chapter </w:t>
      </w:r>
      <w:r w:rsidR="00A17F31" w:rsidRPr="00A17F31">
        <w:rPr>
          <w:rFonts w:asciiTheme="minorHAnsi" w:hAnsiTheme="minorHAnsi" w:cstheme="minorHAnsi"/>
          <w:b/>
        </w:rPr>
        <w:t>29</w:t>
      </w:r>
      <w:r w:rsidRPr="00A17F31">
        <w:rPr>
          <w:rFonts w:asciiTheme="minorHAnsi" w:hAnsiTheme="minorHAnsi" w:cstheme="minorHAnsi"/>
          <w:b/>
        </w:rPr>
        <w:t xml:space="preserve"> – Plumbing systems</w:t>
      </w:r>
    </w:p>
    <w:p w:rsidR="001339A5" w:rsidRPr="00A17F31" w:rsidRDefault="001339A5" w:rsidP="001339A5">
      <w:pPr>
        <w:ind w:left="720"/>
        <w:rPr>
          <w:rFonts w:asciiTheme="minorHAnsi" w:hAnsiTheme="minorHAnsi" w:cstheme="minorHAnsi"/>
        </w:rPr>
      </w:pPr>
      <w:r w:rsidRPr="00A17F31">
        <w:rPr>
          <w:rFonts w:asciiTheme="minorHAnsi" w:hAnsiTheme="minorHAnsi" w:cstheme="minorHAnsi"/>
          <w:b/>
        </w:rPr>
        <w:t>2902.5.1 Drinking fountain number</w:t>
      </w:r>
      <w:r w:rsidRPr="00A17F31">
        <w:rPr>
          <w:rFonts w:asciiTheme="minorHAnsi" w:hAnsiTheme="minorHAnsi" w:cstheme="minorHAnsi"/>
        </w:rPr>
        <w:t>. Occupant loads over 30 shall have one drinking fountain for the first 150 occupants, then one per each additional 500 occupants.</w:t>
      </w:r>
      <w:r w:rsidRPr="00A17F31">
        <w:rPr>
          <w:rFonts w:asciiTheme="minorHAnsi" w:hAnsiTheme="minorHAnsi" w:cstheme="minorHAnsi"/>
          <w:color w:val="1F497D"/>
        </w:rPr>
        <w:t xml:space="preserve"> </w:t>
      </w:r>
      <w:r w:rsidRPr="00A17F31">
        <w:rPr>
          <w:rFonts w:asciiTheme="minorHAnsi" w:hAnsiTheme="minorHAnsi" w:cstheme="minorHAnsi"/>
          <w:color w:val="1F497D"/>
          <w:u w:val="single"/>
        </w:rPr>
        <w:t xml:space="preserve">Bottle filling stations shall be </w:t>
      </w:r>
      <w:r w:rsidR="00A011F4">
        <w:rPr>
          <w:rFonts w:asciiTheme="minorHAnsi" w:hAnsiTheme="minorHAnsi" w:cstheme="minorHAnsi"/>
          <w:color w:val="1F497D"/>
          <w:u w:val="single"/>
        </w:rPr>
        <w:t>included on or used as a substitute for at least 50% of the required number of drinking fountains</w:t>
      </w:r>
      <w:r w:rsidRPr="00A17F31">
        <w:rPr>
          <w:rFonts w:asciiTheme="minorHAnsi" w:hAnsiTheme="minorHAnsi" w:cstheme="minorHAnsi"/>
          <w:color w:val="1F497D"/>
          <w:u w:val="single"/>
        </w:rPr>
        <w:t>.</w:t>
      </w:r>
    </w:p>
    <w:p w:rsidR="001339A5" w:rsidRPr="00C517B3" w:rsidRDefault="001339A5" w:rsidP="001339A5">
      <w:pPr>
        <w:tabs>
          <w:tab w:val="left" w:pos="-720"/>
          <w:tab w:val="left" w:pos="0"/>
          <w:tab w:val="left" w:pos="8832"/>
        </w:tabs>
        <w:rPr>
          <w:rFonts w:ascii="Times New Roman" w:hAnsi="Times New Roman"/>
        </w:rPr>
      </w:pPr>
      <w:r w:rsidRPr="00C517B3">
        <w:rPr>
          <w:rFonts w:ascii="Times New Roman" w:hAnsi="Times New Roman"/>
        </w:rPr>
        <w:tab/>
      </w:r>
    </w:p>
    <w:p w:rsidR="001339A5" w:rsidRDefault="001339A5" w:rsidP="00A17F31">
      <w:pPr>
        <w:pStyle w:val="ListParagraph"/>
        <w:numPr>
          <w:ilvl w:val="0"/>
          <w:numId w:val="9"/>
        </w:numPr>
        <w:tabs>
          <w:tab w:val="left" w:pos="-720"/>
          <w:tab w:val="left" w:pos="0"/>
          <w:tab w:val="left" w:pos="720"/>
        </w:tabs>
        <w:spacing w:after="60"/>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AC0969" w:rsidRPr="00AC0969" w:rsidRDefault="00AC0969" w:rsidP="00AC0969">
      <w:pPr>
        <w:spacing w:before="60" w:after="200"/>
        <w:ind w:left="360"/>
        <w:rPr>
          <w:rFonts w:asciiTheme="minorHAnsi" w:hAnsiTheme="minorHAnsi" w:cstheme="minorHAnsi"/>
          <w:szCs w:val="24"/>
        </w:rPr>
      </w:pPr>
      <w:r w:rsidRPr="00AC0969">
        <w:rPr>
          <w:rFonts w:asciiTheme="minorHAnsi" w:hAnsiTheme="minorHAnsi" w:cstheme="minorHAnsi"/>
          <w:szCs w:val="24"/>
        </w:rPr>
        <w:t>Because the proposed WAC section does not apply to any residential settings, we confine our narrative to commercial, industrial and institutional alone.</w:t>
      </w:r>
    </w:p>
    <w:p w:rsidR="001F6C65" w:rsidRDefault="00A17F31" w:rsidP="00AC0969">
      <w:pPr>
        <w:ind w:left="360"/>
        <w:rPr>
          <w:rFonts w:asciiTheme="minorHAnsi" w:hAnsiTheme="minorHAnsi" w:cstheme="minorHAnsi"/>
          <w:szCs w:val="24"/>
        </w:rPr>
      </w:pPr>
      <w:r w:rsidRPr="00A17F31">
        <w:rPr>
          <w:rFonts w:asciiTheme="minorHAnsi" w:hAnsiTheme="minorHAnsi" w:cstheme="minorHAnsi"/>
          <w:szCs w:val="24"/>
        </w:rPr>
        <w:t>These proposed requirements further two critical goals</w:t>
      </w:r>
      <w:r w:rsidR="00AC0969">
        <w:rPr>
          <w:rFonts w:asciiTheme="minorHAnsi" w:hAnsiTheme="minorHAnsi" w:cstheme="minorHAnsi"/>
          <w:szCs w:val="24"/>
        </w:rPr>
        <w:t>: one</w:t>
      </w:r>
      <w:r w:rsidRPr="00A17F31">
        <w:rPr>
          <w:rFonts w:asciiTheme="minorHAnsi" w:hAnsiTheme="minorHAnsi" w:cstheme="minorHAnsi"/>
          <w:szCs w:val="24"/>
        </w:rPr>
        <w:t xml:space="preserve"> supporting healthier communities</w:t>
      </w:r>
      <w:r w:rsidR="00A011F4">
        <w:rPr>
          <w:rFonts w:asciiTheme="minorHAnsi" w:hAnsiTheme="minorHAnsi" w:cstheme="minorHAnsi"/>
          <w:szCs w:val="24"/>
        </w:rPr>
        <w:t xml:space="preserve"> by encouraging greater consumption of public tap water</w:t>
      </w:r>
      <w:r w:rsidR="00AC0969">
        <w:rPr>
          <w:rFonts w:asciiTheme="minorHAnsi" w:hAnsiTheme="minorHAnsi" w:cstheme="minorHAnsi"/>
          <w:szCs w:val="24"/>
        </w:rPr>
        <w:t>,</w:t>
      </w:r>
      <w:r w:rsidRPr="00A17F31">
        <w:rPr>
          <w:rFonts w:asciiTheme="minorHAnsi" w:hAnsiTheme="minorHAnsi" w:cstheme="minorHAnsi"/>
          <w:szCs w:val="24"/>
        </w:rPr>
        <w:t xml:space="preserve"> and</w:t>
      </w:r>
      <w:r w:rsidR="00AC0969">
        <w:rPr>
          <w:rFonts w:asciiTheme="minorHAnsi" w:hAnsiTheme="minorHAnsi" w:cstheme="minorHAnsi"/>
          <w:szCs w:val="24"/>
        </w:rPr>
        <w:t>, two,</w:t>
      </w:r>
      <w:r w:rsidRPr="00A17F31">
        <w:rPr>
          <w:rFonts w:asciiTheme="minorHAnsi" w:hAnsiTheme="minorHAnsi" w:cstheme="minorHAnsi"/>
          <w:szCs w:val="24"/>
        </w:rPr>
        <w:t xml:space="preserve"> providing greater environmental protection by encouraging the consumption of potable water using reusable water bottles as an alternative</w:t>
      </w:r>
      <w:r w:rsidR="00A011F4">
        <w:rPr>
          <w:rFonts w:asciiTheme="minorHAnsi" w:hAnsiTheme="minorHAnsi" w:cstheme="minorHAnsi"/>
          <w:szCs w:val="24"/>
        </w:rPr>
        <w:t xml:space="preserve"> to single use disposable </w:t>
      </w:r>
      <w:r w:rsidRPr="00A17F31">
        <w:rPr>
          <w:rFonts w:asciiTheme="minorHAnsi" w:hAnsiTheme="minorHAnsi" w:cstheme="minorHAnsi"/>
          <w:szCs w:val="24"/>
        </w:rPr>
        <w:t>bottles.</w:t>
      </w:r>
      <w:r>
        <w:rPr>
          <w:rFonts w:asciiTheme="minorHAnsi" w:hAnsiTheme="minorHAnsi" w:cstheme="minorHAnsi"/>
          <w:szCs w:val="24"/>
        </w:rPr>
        <w:t xml:space="preserve"> </w:t>
      </w:r>
    </w:p>
    <w:p w:rsidR="001F6C65" w:rsidRDefault="001F6C65" w:rsidP="00A17F31">
      <w:pPr>
        <w:ind w:left="360"/>
        <w:rPr>
          <w:rFonts w:asciiTheme="minorHAnsi" w:hAnsiTheme="minorHAnsi" w:cstheme="minorHAnsi"/>
          <w:szCs w:val="24"/>
        </w:rPr>
      </w:pPr>
    </w:p>
    <w:p w:rsidR="009F51BA" w:rsidRPr="009F51BA" w:rsidRDefault="00AE54EB" w:rsidP="009F51BA">
      <w:pPr>
        <w:ind w:left="360"/>
        <w:rPr>
          <w:rFonts w:asciiTheme="minorHAnsi" w:hAnsiTheme="minorHAnsi" w:cstheme="minorHAnsi"/>
          <w:szCs w:val="24"/>
        </w:rPr>
      </w:pPr>
      <w:r>
        <w:rPr>
          <w:rFonts w:asciiTheme="minorHAnsi" w:hAnsiTheme="minorHAnsi" w:cstheme="minorHAnsi"/>
          <w:szCs w:val="24"/>
        </w:rPr>
        <w:t>Nationally, o</w:t>
      </w:r>
      <w:r w:rsidR="001F6C65">
        <w:rPr>
          <w:rFonts w:asciiTheme="minorHAnsi" w:hAnsiTheme="minorHAnsi" w:cstheme="minorHAnsi"/>
          <w:szCs w:val="24"/>
        </w:rPr>
        <w:t xml:space="preserve">besity rates among children aged 6 to 11 have </w:t>
      </w:r>
      <w:r>
        <w:rPr>
          <w:rFonts w:asciiTheme="minorHAnsi" w:hAnsiTheme="minorHAnsi" w:cstheme="minorHAnsi"/>
          <w:szCs w:val="24"/>
        </w:rPr>
        <w:t xml:space="preserve">more than </w:t>
      </w:r>
      <w:r w:rsidR="001F6C65">
        <w:rPr>
          <w:rFonts w:asciiTheme="minorHAnsi" w:hAnsiTheme="minorHAnsi" w:cstheme="minorHAnsi"/>
          <w:szCs w:val="24"/>
        </w:rPr>
        <w:t>doubled in the last 20 years and the increased consumption of sugar-sweetened beverages is a clear culprit.</w:t>
      </w:r>
      <w:r>
        <w:rPr>
          <w:rFonts w:asciiTheme="minorHAnsi" w:hAnsiTheme="minorHAnsi" w:cstheme="minorHAnsi"/>
          <w:szCs w:val="24"/>
        </w:rPr>
        <w:t xml:space="preserve"> </w:t>
      </w:r>
      <w:r w:rsidR="009F51BA">
        <w:rPr>
          <w:rFonts w:asciiTheme="minorHAnsi" w:hAnsiTheme="minorHAnsi" w:cstheme="minorHAnsi"/>
          <w:szCs w:val="24"/>
        </w:rPr>
        <w:t xml:space="preserve">Research tells us that Americans are consuming </w:t>
      </w:r>
      <w:r w:rsidR="009F51BA" w:rsidRPr="009F51BA">
        <w:rPr>
          <w:rFonts w:asciiTheme="minorHAnsi" w:hAnsiTheme="minorHAnsi" w:cstheme="minorHAnsi"/>
          <w:szCs w:val="24"/>
        </w:rPr>
        <w:t>approximately 278 more calories today than they did in the mid‐1970s with 43 percent</w:t>
      </w:r>
    </w:p>
    <w:p w:rsidR="001F6C65" w:rsidRDefault="009F51BA" w:rsidP="009F51BA">
      <w:pPr>
        <w:ind w:left="360"/>
        <w:rPr>
          <w:rFonts w:asciiTheme="minorHAnsi" w:hAnsiTheme="minorHAnsi" w:cstheme="minorHAnsi"/>
          <w:szCs w:val="24"/>
        </w:rPr>
      </w:pPr>
      <w:r w:rsidRPr="009F51BA">
        <w:rPr>
          <w:rFonts w:asciiTheme="minorHAnsi" w:hAnsiTheme="minorHAnsi" w:cstheme="minorHAnsi"/>
          <w:szCs w:val="24"/>
        </w:rPr>
        <w:t>of t</w:t>
      </w:r>
      <w:r>
        <w:rPr>
          <w:rFonts w:asciiTheme="minorHAnsi" w:hAnsiTheme="minorHAnsi" w:cstheme="minorHAnsi"/>
          <w:szCs w:val="24"/>
        </w:rPr>
        <w:t>hese calories coming from sugar sweetened beverages.</w:t>
      </w:r>
      <w:r>
        <w:rPr>
          <w:rStyle w:val="FootnoteReference"/>
          <w:rFonts w:asciiTheme="minorHAnsi" w:hAnsiTheme="minorHAnsi" w:cstheme="minorHAnsi"/>
          <w:szCs w:val="24"/>
        </w:rPr>
        <w:footnoteReference w:id="1"/>
      </w:r>
      <w:r>
        <w:rPr>
          <w:rFonts w:asciiTheme="minorHAnsi" w:hAnsiTheme="minorHAnsi" w:cstheme="minorHAnsi"/>
          <w:szCs w:val="24"/>
        </w:rPr>
        <w:t xml:space="preserve"> </w:t>
      </w:r>
      <w:r w:rsidR="00AE54EB">
        <w:rPr>
          <w:rFonts w:asciiTheme="minorHAnsi" w:hAnsiTheme="minorHAnsi" w:cstheme="minorHAnsi"/>
          <w:szCs w:val="24"/>
        </w:rPr>
        <w:t xml:space="preserve">Providing </w:t>
      </w:r>
      <w:r w:rsidR="00AE54EB" w:rsidRPr="00AE54EB">
        <w:rPr>
          <w:rFonts w:asciiTheme="minorHAnsi" w:hAnsiTheme="minorHAnsi" w:cstheme="minorHAnsi"/>
          <w:szCs w:val="24"/>
        </w:rPr>
        <w:t>access to drinking water gives students a healthy alternative to sugar-sweetened beverages. It helps to increase students’ overall water consumption, maintain hydration, and reduce energy intake if substituted fo</w:t>
      </w:r>
      <w:r w:rsidR="00AE54EB">
        <w:rPr>
          <w:rFonts w:asciiTheme="minorHAnsi" w:hAnsiTheme="minorHAnsi" w:cstheme="minorHAnsi"/>
          <w:szCs w:val="24"/>
        </w:rPr>
        <w:t xml:space="preserve">r sugar-sweetened beverages. </w:t>
      </w:r>
      <w:r w:rsidR="00AE54EB" w:rsidRPr="00AE54EB">
        <w:rPr>
          <w:rFonts w:asciiTheme="minorHAnsi" w:hAnsiTheme="minorHAnsi" w:cstheme="minorHAnsi"/>
          <w:szCs w:val="24"/>
        </w:rPr>
        <w:t>Adequate hydration also may improve cognitive function</w:t>
      </w:r>
      <w:r w:rsidR="00AE54EB">
        <w:rPr>
          <w:rFonts w:asciiTheme="minorHAnsi" w:hAnsiTheme="minorHAnsi" w:cstheme="minorHAnsi"/>
          <w:szCs w:val="24"/>
        </w:rPr>
        <w:t xml:space="preserve"> in children and adolescents.</w:t>
      </w:r>
      <w:r w:rsidR="00AE54EB" w:rsidRPr="00AE54EB">
        <w:rPr>
          <w:rFonts w:asciiTheme="minorHAnsi" w:hAnsiTheme="minorHAnsi" w:cstheme="minorHAnsi"/>
          <w:szCs w:val="24"/>
        </w:rPr>
        <w:t xml:space="preserve"> Drinking water, if fluoridated, also plays a role in preventing dental caries (cavities).</w:t>
      </w:r>
      <w:r>
        <w:rPr>
          <w:rFonts w:asciiTheme="minorHAnsi" w:hAnsiTheme="minorHAnsi" w:cstheme="minorHAnsi"/>
          <w:szCs w:val="24"/>
        </w:rPr>
        <w:t xml:space="preserve"> </w:t>
      </w:r>
      <w:r w:rsidRPr="009F51BA">
        <w:rPr>
          <w:rFonts w:asciiTheme="minorHAnsi" w:hAnsiTheme="minorHAnsi" w:cstheme="minorHAnsi"/>
          <w:szCs w:val="24"/>
        </w:rPr>
        <w:t xml:space="preserve">In short, there is a growing research </w:t>
      </w:r>
      <w:r w:rsidRPr="009F51BA">
        <w:rPr>
          <w:rFonts w:asciiTheme="minorHAnsi" w:hAnsiTheme="minorHAnsi" w:cstheme="minorHAnsi"/>
          <w:szCs w:val="24"/>
        </w:rPr>
        <w:lastRenderedPageBreak/>
        <w:t>base that demonstrates that increasing water</w:t>
      </w:r>
      <w:r>
        <w:rPr>
          <w:rFonts w:asciiTheme="minorHAnsi" w:hAnsiTheme="minorHAnsi" w:cstheme="minorHAnsi"/>
          <w:szCs w:val="24"/>
        </w:rPr>
        <w:t xml:space="preserve"> </w:t>
      </w:r>
      <w:r w:rsidRPr="009F51BA">
        <w:rPr>
          <w:rFonts w:asciiTheme="minorHAnsi" w:hAnsiTheme="minorHAnsi" w:cstheme="minorHAnsi"/>
          <w:szCs w:val="24"/>
        </w:rPr>
        <w:t>consumption is beneficial for a student’s health and well‐being and can positively</w:t>
      </w:r>
      <w:r>
        <w:rPr>
          <w:rFonts w:asciiTheme="minorHAnsi" w:hAnsiTheme="minorHAnsi" w:cstheme="minorHAnsi"/>
          <w:szCs w:val="24"/>
        </w:rPr>
        <w:t xml:space="preserve"> </w:t>
      </w:r>
      <w:r w:rsidRPr="009F51BA">
        <w:rPr>
          <w:rFonts w:asciiTheme="minorHAnsi" w:hAnsiTheme="minorHAnsi" w:cstheme="minorHAnsi"/>
          <w:szCs w:val="24"/>
        </w:rPr>
        <w:t>impact weight and academic performance.</w:t>
      </w:r>
    </w:p>
    <w:p w:rsidR="00AE54EB" w:rsidRDefault="00AE54EB" w:rsidP="00A17F31">
      <w:pPr>
        <w:ind w:left="360"/>
        <w:rPr>
          <w:rFonts w:asciiTheme="minorHAnsi" w:hAnsiTheme="minorHAnsi" w:cstheme="minorHAnsi"/>
          <w:szCs w:val="24"/>
        </w:rPr>
      </w:pPr>
    </w:p>
    <w:p w:rsidR="00AE54EB" w:rsidRDefault="00AE54EB" w:rsidP="00A17F31">
      <w:pPr>
        <w:ind w:left="360"/>
        <w:rPr>
          <w:rFonts w:asciiTheme="minorHAnsi" w:hAnsiTheme="minorHAnsi" w:cstheme="minorHAnsi"/>
          <w:szCs w:val="24"/>
        </w:rPr>
      </w:pPr>
      <w:r>
        <w:rPr>
          <w:rFonts w:asciiTheme="minorHAnsi" w:hAnsiTheme="minorHAnsi" w:cstheme="minorHAnsi"/>
          <w:szCs w:val="24"/>
        </w:rPr>
        <w:t xml:space="preserve">The same health benefits also apply to adults. Not only is individual health status achieved, but healthier workers are more productive workers. So encouraging healthy hydration habits through water bottle filling stations </w:t>
      </w:r>
      <w:r w:rsidR="00A011F4">
        <w:rPr>
          <w:rFonts w:asciiTheme="minorHAnsi" w:hAnsiTheme="minorHAnsi" w:cstheme="minorHAnsi"/>
          <w:szCs w:val="24"/>
        </w:rPr>
        <w:t>should be part of worksite wellness efforts that can pay</w:t>
      </w:r>
      <w:r>
        <w:rPr>
          <w:rFonts w:asciiTheme="minorHAnsi" w:hAnsiTheme="minorHAnsi" w:cstheme="minorHAnsi"/>
          <w:szCs w:val="24"/>
        </w:rPr>
        <w:t xml:space="preserve"> real dividends to the employer.</w:t>
      </w:r>
    </w:p>
    <w:p w:rsidR="001F6C65" w:rsidRDefault="001F6C65" w:rsidP="00A17F31">
      <w:pPr>
        <w:ind w:left="360"/>
        <w:rPr>
          <w:rFonts w:asciiTheme="minorHAnsi" w:hAnsiTheme="minorHAnsi" w:cstheme="minorHAnsi"/>
          <w:szCs w:val="24"/>
        </w:rPr>
      </w:pPr>
    </w:p>
    <w:p w:rsidR="001339A5" w:rsidRDefault="00A17F31" w:rsidP="00A17F31">
      <w:pPr>
        <w:ind w:left="360"/>
        <w:rPr>
          <w:rFonts w:asciiTheme="minorHAnsi" w:hAnsiTheme="minorHAnsi" w:cstheme="minorHAnsi"/>
          <w:szCs w:val="24"/>
        </w:rPr>
      </w:pPr>
      <w:r>
        <w:rPr>
          <w:rFonts w:asciiTheme="minorHAnsi" w:hAnsiTheme="minorHAnsi" w:cstheme="minorHAnsi"/>
          <w:szCs w:val="24"/>
        </w:rPr>
        <w:t xml:space="preserve">The production, transport, use and disposal of bottled water </w:t>
      </w:r>
      <w:r w:rsidR="006953F9">
        <w:rPr>
          <w:rFonts w:asciiTheme="minorHAnsi" w:hAnsiTheme="minorHAnsi" w:cstheme="minorHAnsi"/>
          <w:szCs w:val="24"/>
        </w:rPr>
        <w:t>have</w:t>
      </w:r>
      <w:r>
        <w:rPr>
          <w:rFonts w:asciiTheme="minorHAnsi" w:hAnsiTheme="minorHAnsi" w:cstheme="minorHAnsi"/>
          <w:szCs w:val="24"/>
        </w:rPr>
        <w:t xml:space="preserve"> a large environmental impact in com</w:t>
      </w:r>
      <w:r w:rsidR="001F6C65">
        <w:rPr>
          <w:rFonts w:asciiTheme="minorHAnsi" w:hAnsiTheme="minorHAnsi" w:cstheme="minorHAnsi"/>
          <w:szCs w:val="24"/>
        </w:rPr>
        <w:t>par</w:t>
      </w:r>
      <w:r>
        <w:rPr>
          <w:rFonts w:asciiTheme="minorHAnsi" w:hAnsiTheme="minorHAnsi" w:cstheme="minorHAnsi"/>
          <w:szCs w:val="24"/>
        </w:rPr>
        <w:t>ison with municipal tap water</w:t>
      </w:r>
      <w:r w:rsidR="001F6C65">
        <w:rPr>
          <w:rFonts w:asciiTheme="minorHAnsi" w:hAnsiTheme="minorHAnsi" w:cstheme="minorHAnsi"/>
          <w:szCs w:val="24"/>
        </w:rPr>
        <w:t>. Bottled water requires the use of petroleum for the creation of plastic bottles. In contract with tap water, bottled water requires more energy and materials for production and delivery. While most water bottles are recyclable, it is estimated that over 85% of plastic water bottles become garbage or litter.</w:t>
      </w:r>
    </w:p>
    <w:p w:rsidR="00916DF3" w:rsidRDefault="00916DF3" w:rsidP="00A17F31">
      <w:pPr>
        <w:ind w:left="360"/>
        <w:rPr>
          <w:rFonts w:asciiTheme="minorHAnsi" w:hAnsiTheme="minorHAnsi" w:cstheme="minorHAnsi"/>
          <w:szCs w:val="24"/>
        </w:rPr>
      </w:pPr>
    </w:p>
    <w:p w:rsidR="00916DF3" w:rsidRPr="00916DF3" w:rsidRDefault="00916DF3" w:rsidP="00916DF3">
      <w:pPr>
        <w:ind w:left="360"/>
        <w:rPr>
          <w:rFonts w:asciiTheme="minorHAnsi" w:hAnsiTheme="minorHAnsi" w:cstheme="minorHAnsi"/>
          <w:szCs w:val="24"/>
        </w:rPr>
      </w:pPr>
      <w:r>
        <w:rPr>
          <w:rFonts w:asciiTheme="minorHAnsi" w:hAnsiTheme="minorHAnsi" w:cstheme="minorHAnsi"/>
          <w:szCs w:val="24"/>
        </w:rPr>
        <w:t xml:space="preserve">The growing focus on water has clearly accelerated the interest and usage of water bottle filling stations. In </w:t>
      </w:r>
      <w:r w:rsidRPr="00916DF3">
        <w:rPr>
          <w:rFonts w:asciiTheme="minorHAnsi" w:hAnsiTheme="minorHAnsi" w:cstheme="minorHAnsi"/>
          <w:szCs w:val="24"/>
        </w:rPr>
        <w:t>December 2010, the Healthy, Hunger-Free Kids Act was signed into law, a section of which required all</w:t>
      </w:r>
    </w:p>
    <w:p w:rsidR="00916DF3" w:rsidRPr="00916DF3" w:rsidRDefault="00916DF3" w:rsidP="00916DF3">
      <w:pPr>
        <w:ind w:left="360"/>
        <w:rPr>
          <w:rFonts w:asciiTheme="minorHAnsi" w:hAnsiTheme="minorHAnsi" w:cstheme="minorHAnsi"/>
          <w:szCs w:val="24"/>
        </w:rPr>
      </w:pPr>
      <w:r w:rsidRPr="00916DF3">
        <w:rPr>
          <w:rFonts w:asciiTheme="minorHAnsi" w:hAnsiTheme="minorHAnsi" w:cstheme="minorHAnsi"/>
          <w:szCs w:val="24"/>
        </w:rPr>
        <w:t>schools participating in the school lunch program to provide free potable water during mealtimes where</w:t>
      </w:r>
    </w:p>
    <w:p w:rsidR="00916DF3" w:rsidRDefault="00916DF3" w:rsidP="00916DF3">
      <w:pPr>
        <w:ind w:left="360"/>
        <w:rPr>
          <w:rFonts w:asciiTheme="minorHAnsi" w:hAnsiTheme="minorHAnsi" w:cstheme="minorHAnsi"/>
          <w:szCs w:val="24"/>
        </w:rPr>
      </w:pPr>
      <w:r>
        <w:rPr>
          <w:rFonts w:asciiTheme="minorHAnsi" w:hAnsiTheme="minorHAnsi" w:cstheme="minorHAnsi"/>
          <w:szCs w:val="24"/>
        </w:rPr>
        <w:t>food is served.</w:t>
      </w:r>
      <w:r w:rsidRPr="00916DF3">
        <w:rPr>
          <w:rFonts w:asciiTheme="minorHAnsi" w:hAnsiTheme="minorHAnsi" w:cstheme="minorHAnsi"/>
          <w:szCs w:val="24"/>
        </w:rPr>
        <w:t xml:space="preserve"> Although not requiring water bottle-</w:t>
      </w:r>
      <w:r w:rsidR="00A011F4">
        <w:rPr>
          <w:rFonts w:asciiTheme="minorHAnsi" w:hAnsiTheme="minorHAnsi" w:cstheme="minorHAnsi"/>
          <w:szCs w:val="24"/>
        </w:rPr>
        <w:t xml:space="preserve">refill stations specifically, such an amenity </w:t>
      </w:r>
      <w:r w:rsidRPr="00916DF3">
        <w:rPr>
          <w:rFonts w:asciiTheme="minorHAnsi" w:hAnsiTheme="minorHAnsi" w:cstheme="minorHAnsi"/>
          <w:szCs w:val="24"/>
        </w:rPr>
        <w:t xml:space="preserve">is a desirable </w:t>
      </w:r>
      <w:r w:rsidR="00B439DA" w:rsidRPr="00916DF3">
        <w:rPr>
          <w:rFonts w:asciiTheme="minorHAnsi" w:hAnsiTheme="minorHAnsi" w:cstheme="minorHAnsi"/>
          <w:szCs w:val="24"/>
        </w:rPr>
        <w:t>solution for</w:t>
      </w:r>
      <w:r w:rsidRPr="00916DF3">
        <w:rPr>
          <w:rFonts w:asciiTheme="minorHAnsi" w:hAnsiTheme="minorHAnsi" w:cstheme="minorHAnsi"/>
          <w:szCs w:val="24"/>
        </w:rPr>
        <w:t xml:space="preserve"> the schools that can afford to install them.</w:t>
      </w:r>
      <w:r>
        <w:rPr>
          <w:rFonts w:asciiTheme="minorHAnsi" w:hAnsiTheme="minorHAnsi" w:cstheme="minorHAnsi"/>
          <w:szCs w:val="24"/>
        </w:rPr>
        <w:t xml:space="preserve"> There is an ongoing campaign to “Ban the Bottle” </w:t>
      </w:r>
      <w:r w:rsidR="003E0550">
        <w:rPr>
          <w:rFonts w:asciiTheme="minorHAnsi" w:hAnsiTheme="minorHAnsi" w:cstheme="minorHAnsi"/>
          <w:szCs w:val="24"/>
        </w:rPr>
        <w:t xml:space="preserve">or “Take Back the Tap” </w:t>
      </w:r>
      <w:r>
        <w:rPr>
          <w:rFonts w:asciiTheme="minorHAnsi" w:hAnsiTheme="minorHAnsi" w:cstheme="minorHAnsi"/>
          <w:szCs w:val="24"/>
        </w:rPr>
        <w:t>on college campuses</w:t>
      </w:r>
      <w:r w:rsidR="003E0550">
        <w:rPr>
          <w:rFonts w:asciiTheme="minorHAnsi" w:hAnsiTheme="minorHAnsi" w:cstheme="minorHAnsi"/>
          <w:szCs w:val="24"/>
        </w:rPr>
        <w:t xml:space="preserve"> where students are activated to enact bans on one-time use plastic water bottles and encourage hydration through greater usage of public tap water.</w:t>
      </w:r>
      <w:r w:rsidR="00CF39B9">
        <w:rPr>
          <w:rFonts w:asciiTheme="minorHAnsi" w:hAnsiTheme="minorHAnsi" w:cstheme="minorHAnsi"/>
          <w:szCs w:val="24"/>
        </w:rPr>
        <w:t xml:space="preserve"> Lastly, the 2015 International Plumbing Code included water bottle filling stations for the first time by calling them out as adequate substitutes for regular water fountains.</w:t>
      </w:r>
    </w:p>
    <w:p w:rsidR="00AE54EB" w:rsidRDefault="00AE54EB" w:rsidP="00A17F31">
      <w:pPr>
        <w:ind w:left="360"/>
        <w:rPr>
          <w:rFonts w:asciiTheme="minorHAnsi" w:hAnsiTheme="minorHAnsi" w:cstheme="minorHAnsi"/>
          <w:szCs w:val="24"/>
        </w:rPr>
      </w:pPr>
    </w:p>
    <w:p w:rsidR="00AE54EB" w:rsidRPr="00A17F31" w:rsidRDefault="00AE54EB" w:rsidP="00A17F31">
      <w:pPr>
        <w:ind w:left="360"/>
        <w:rPr>
          <w:rFonts w:asciiTheme="minorHAnsi" w:hAnsiTheme="minorHAnsi" w:cstheme="minorHAnsi"/>
          <w:szCs w:val="24"/>
        </w:rPr>
      </w:pPr>
      <w:r>
        <w:rPr>
          <w:rFonts w:asciiTheme="minorHAnsi" w:hAnsiTheme="minorHAnsi" w:cstheme="minorHAnsi"/>
          <w:szCs w:val="24"/>
        </w:rPr>
        <w:t>Once installed, the</w:t>
      </w:r>
      <w:r w:rsidR="001E4C59">
        <w:rPr>
          <w:rFonts w:asciiTheme="minorHAnsi" w:hAnsiTheme="minorHAnsi" w:cstheme="minorHAnsi"/>
          <w:szCs w:val="24"/>
        </w:rPr>
        <w:t>re are no identified</w:t>
      </w:r>
      <w:r>
        <w:rPr>
          <w:rFonts w:asciiTheme="minorHAnsi" w:hAnsiTheme="minorHAnsi" w:cstheme="minorHAnsi"/>
          <w:szCs w:val="24"/>
        </w:rPr>
        <w:t xml:space="preserve"> enfo</w:t>
      </w:r>
      <w:r w:rsidR="001E4C59">
        <w:rPr>
          <w:rFonts w:asciiTheme="minorHAnsi" w:hAnsiTheme="minorHAnsi" w:cstheme="minorHAnsi"/>
          <w:szCs w:val="24"/>
        </w:rPr>
        <w:t>rcement requirements</w:t>
      </w:r>
      <w:r>
        <w:rPr>
          <w:rFonts w:asciiTheme="minorHAnsi" w:hAnsiTheme="minorHAnsi" w:cstheme="minorHAnsi"/>
          <w:szCs w:val="24"/>
        </w:rPr>
        <w:t>. There is basic upkeep that is not really different when compared to the upkeep of drinking fountains, with one exception. Filters must be replaced in periodically to yield the benefits provided by filtration.</w:t>
      </w:r>
    </w:p>
    <w:p w:rsidR="00B75D4C" w:rsidRDefault="00B75D4C"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541623"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Check27"/>
            <w:enabled/>
            <w:calcOnExit w:val="0"/>
            <w:checkBox>
              <w:sizeAuto/>
              <w:default w:val="1"/>
            </w:checkBox>
          </w:ffData>
        </w:fldChar>
      </w:r>
      <w:bookmarkStart w:id="1" w:name="Check27"/>
      <w:r w:rsidR="00C517B3">
        <w:rPr>
          <w:rFonts w:ascii="Times New Roman" w:hAnsi="Times New Roman"/>
          <w:sz w:val="24"/>
          <w:szCs w:val="24"/>
        </w:rPr>
        <w:instrText xml:space="preserve"> FORMCHECKBOX </w:instrText>
      </w:r>
      <w:r w:rsidR="0058144F">
        <w:rPr>
          <w:rFonts w:ascii="Times New Roman" w:hAnsi="Times New Roman"/>
          <w:sz w:val="24"/>
          <w:szCs w:val="24"/>
        </w:rPr>
      </w:r>
      <w:r w:rsidR="0058144F">
        <w:rPr>
          <w:rFonts w:ascii="Times New Roman" w:hAnsi="Times New Roman"/>
          <w:sz w:val="24"/>
          <w:szCs w:val="24"/>
        </w:rPr>
        <w:fldChar w:fldCharType="separate"/>
      </w:r>
      <w:r>
        <w:rPr>
          <w:rFonts w:ascii="Times New Roman" w:hAnsi="Times New Roman"/>
          <w:sz w:val="24"/>
          <w:szCs w:val="24"/>
        </w:rPr>
        <w:fldChar w:fldCharType="end"/>
      </w:r>
      <w:bookmarkEnd w:id="1"/>
      <w:r w:rsidR="00B75D4C" w:rsidRPr="0087578E">
        <w:rPr>
          <w:rFonts w:ascii="Times New Roman" w:hAnsi="Times New Roman"/>
          <w:sz w:val="24"/>
          <w:szCs w:val="24"/>
        </w:rPr>
        <w:t xml:space="preserve"> The amendment is needed to address a critical life/safety need.</w:t>
      </w:r>
    </w:p>
    <w:p w:rsidR="00B75D4C" w:rsidRPr="0087578E" w:rsidRDefault="00541623"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58144F">
        <w:rPr>
          <w:rFonts w:ascii="Times New Roman" w:hAnsi="Times New Roman"/>
          <w:sz w:val="24"/>
          <w:szCs w:val="24"/>
        </w:rPr>
      </w:r>
      <w:r w:rsidR="0058144F">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specific state policy or statute.</w:t>
      </w:r>
    </w:p>
    <w:p w:rsidR="00B75D4C" w:rsidRPr="0087578E" w:rsidRDefault="00541623"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C517B3">
        <w:rPr>
          <w:rFonts w:ascii="Times New Roman" w:hAnsi="Times New Roman"/>
          <w:sz w:val="24"/>
          <w:szCs w:val="24"/>
        </w:rPr>
        <w:instrText xml:space="preserve"> FORMCHECKBOX </w:instrText>
      </w:r>
      <w:r w:rsidR="0058144F">
        <w:rPr>
          <w:rFonts w:ascii="Times New Roman" w:hAnsi="Times New Roman"/>
          <w:sz w:val="24"/>
          <w:szCs w:val="24"/>
        </w:rPr>
      </w:r>
      <w:r w:rsidR="0058144F">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for consistency with state or federal regulations.</w:t>
      </w:r>
    </w:p>
    <w:p w:rsidR="00B75D4C" w:rsidRPr="0087578E" w:rsidRDefault="00541623"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58144F">
        <w:rPr>
          <w:rFonts w:ascii="Times New Roman" w:hAnsi="Times New Roman"/>
          <w:sz w:val="24"/>
          <w:szCs w:val="24"/>
        </w:rPr>
      </w:r>
      <w:r w:rsidR="0058144F">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unique character of the state.</w:t>
      </w:r>
    </w:p>
    <w:p w:rsidR="00B75D4C" w:rsidRDefault="00541623"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00B75D4C" w:rsidRPr="0087578E">
        <w:rPr>
          <w:rFonts w:ascii="Times New Roman" w:hAnsi="Times New Roman"/>
          <w:szCs w:val="24"/>
        </w:rPr>
        <w:instrText xml:space="preserve"> FORMCHECKBOX </w:instrText>
      </w:r>
      <w:r w:rsidR="0058144F">
        <w:rPr>
          <w:rFonts w:ascii="Times New Roman" w:hAnsi="Times New Roman"/>
          <w:szCs w:val="24"/>
        </w:rPr>
      </w:r>
      <w:r w:rsidR="0058144F">
        <w:rPr>
          <w:rFonts w:ascii="Times New Roman" w:hAnsi="Times New Roman"/>
          <w:szCs w:val="24"/>
        </w:rPr>
        <w:fldChar w:fldCharType="separate"/>
      </w:r>
      <w:r w:rsidRPr="0087578E">
        <w:rPr>
          <w:rFonts w:ascii="Times New Roman" w:hAnsi="Times New Roman"/>
          <w:szCs w:val="24"/>
        </w:rPr>
        <w:fldChar w:fldCharType="end"/>
      </w:r>
      <w:r w:rsidR="00B75D4C"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541623">
        <w:rPr>
          <w:rFonts w:ascii="Times New Roman" w:hAnsi="Times New Roman"/>
          <w:szCs w:val="24"/>
        </w:rPr>
        <w:fldChar w:fldCharType="begin">
          <w:ffData>
            <w:name w:val=""/>
            <w:enabled/>
            <w:calcOnExit w:val="0"/>
            <w:checkBox>
              <w:sizeAuto/>
              <w:default w:val="1"/>
            </w:checkBox>
          </w:ffData>
        </w:fldChar>
      </w:r>
      <w:r w:rsidR="00C517B3">
        <w:rPr>
          <w:rFonts w:ascii="Times New Roman" w:hAnsi="Times New Roman"/>
          <w:szCs w:val="24"/>
        </w:rPr>
        <w:instrText xml:space="preserve"> FORMCHECKBOX </w:instrText>
      </w:r>
      <w:r w:rsidR="0058144F">
        <w:rPr>
          <w:rFonts w:ascii="Times New Roman" w:hAnsi="Times New Roman"/>
          <w:szCs w:val="24"/>
        </w:rPr>
      </w:r>
      <w:r w:rsidR="0058144F">
        <w:rPr>
          <w:rFonts w:ascii="Times New Roman" w:hAnsi="Times New Roman"/>
          <w:szCs w:val="24"/>
        </w:rPr>
        <w:fldChar w:fldCharType="separate"/>
      </w:r>
      <w:r w:rsidR="00541623">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541623"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58144F">
        <w:rPr>
          <w:rFonts w:ascii="Times New Roman" w:hAnsi="Times New Roman"/>
          <w:szCs w:val="24"/>
        </w:rPr>
      </w:r>
      <w:r w:rsidR="0058144F">
        <w:rPr>
          <w:rFonts w:ascii="Times New Roman" w:hAnsi="Times New Roman"/>
          <w:szCs w:val="24"/>
        </w:rPr>
        <w:fldChar w:fldCharType="separate"/>
      </w:r>
      <w:r w:rsidR="00541623"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p>
    <w:p w:rsidR="00873296" w:rsidRPr="0087578E" w:rsidRDefault="00873296" w:rsidP="00E16D5E">
      <w:pPr>
        <w:ind w:left="720"/>
        <w:rPr>
          <w:rFonts w:ascii="Times New Roman" w:hAnsi="Times New Roman"/>
          <w:szCs w:val="24"/>
        </w:rPr>
      </w:pPr>
    </w:p>
    <w:p w:rsidR="00BE1E8B"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1E4C59">
        <w:trPr>
          <w:tblHeader/>
        </w:trPr>
        <w:tc>
          <w:tcPr>
            <w:tcW w:w="1908" w:type="dxa"/>
            <w:vMerge w:val="restart"/>
          </w:tcPr>
          <w:p w:rsidR="00E720B3" w:rsidRPr="001E4C59" w:rsidRDefault="00E720B3" w:rsidP="006223A8">
            <w:pPr>
              <w:tabs>
                <w:tab w:val="left" w:pos="4320"/>
              </w:tabs>
              <w:ind w:right="-1440"/>
              <w:rPr>
                <w:rFonts w:ascii="Times New Roman" w:hAnsi="Times New Roman"/>
                <w:smallCaps/>
                <w:szCs w:val="24"/>
              </w:rPr>
            </w:pPr>
          </w:p>
          <w:p w:rsidR="00E720B3" w:rsidRPr="001E4C59" w:rsidRDefault="00E720B3" w:rsidP="006223A8">
            <w:pPr>
              <w:tabs>
                <w:tab w:val="left" w:pos="4320"/>
              </w:tabs>
              <w:ind w:right="-1440"/>
              <w:rPr>
                <w:rFonts w:ascii="Times New Roman" w:hAnsi="Times New Roman"/>
                <w:smallCaps/>
                <w:szCs w:val="24"/>
              </w:rPr>
            </w:pPr>
            <w:r w:rsidRPr="001E4C59">
              <w:rPr>
                <w:rFonts w:ascii="Times New Roman" w:hAnsi="Times New Roman"/>
                <w:smallCaps/>
                <w:szCs w:val="24"/>
              </w:rPr>
              <w:t>Building Type</w:t>
            </w:r>
          </w:p>
        </w:tc>
        <w:tc>
          <w:tcPr>
            <w:tcW w:w="2700" w:type="dxa"/>
            <w:gridSpan w:val="2"/>
            <w:vAlign w:val="center"/>
          </w:tcPr>
          <w:p w:rsidR="00E720B3" w:rsidRPr="001E4C59" w:rsidRDefault="00E720B3" w:rsidP="007464D5">
            <w:pPr>
              <w:tabs>
                <w:tab w:val="left" w:pos="4320"/>
              </w:tabs>
              <w:ind w:right="72"/>
              <w:jc w:val="center"/>
              <w:rPr>
                <w:rFonts w:ascii="Times New Roman" w:hAnsi="Times New Roman"/>
                <w:smallCaps/>
                <w:szCs w:val="24"/>
                <w:vertAlign w:val="superscript"/>
              </w:rPr>
            </w:pPr>
            <w:r w:rsidRPr="001E4C59">
              <w:rPr>
                <w:rFonts w:ascii="Times New Roman" w:hAnsi="Times New Roman"/>
                <w:smallCaps/>
                <w:szCs w:val="24"/>
              </w:rPr>
              <w:t>Construction</w:t>
            </w:r>
            <w:r w:rsidRPr="001E4C59">
              <w:rPr>
                <w:rStyle w:val="FootnoteReference"/>
                <w:rFonts w:ascii="Times New Roman" w:hAnsi="Times New Roman"/>
                <w:smallCaps/>
                <w:szCs w:val="24"/>
              </w:rPr>
              <w:footnoteReference w:id="2"/>
            </w:r>
          </w:p>
        </w:tc>
        <w:tc>
          <w:tcPr>
            <w:tcW w:w="3060" w:type="dxa"/>
            <w:gridSpan w:val="2"/>
            <w:vAlign w:val="center"/>
          </w:tcPr>
          <w:p w:rsidR="00E720B3" w:rsidRPr="001E4C59" w:rsidRDefault="00E720B3" w:rsidP="007464D5">
            <w:pPr>
              <w:ind w:right="72"/>
              <w:jc w:val="center"/>
              <w:rPr>
                <w:rFonts w:ascii="Times New Roman" w:hAnsi="Times New Roman"/>
                <w:smallCaps/>
                <w:szCs w:val="24"/>
                <w:vertAlign w:val="superscript"/>
              </w:rPr>
            </w:pPr>
            <w:r w:rsidRPr="001E4C59">
              <w:rPr>
                <w:rFonts w:ascii="Times New Roman" w:hAnsi="Times New Roman"/>
                <w:smallCaps/>
                <w:szCs w:val="24"/>
              </w:rPr>
              <w:t>Enforcement</w:t>
            </w:r>
            <w:r w:rsidRPr="001E4C59">
              <w:rPr>
                <w:rStyle w:val="FootnoteReference"/>
                <w:rFonts w:ascii="Times New Roman" w:hAnsi="Times New Roman"/>
                <w:smallCaps/>
                <w:szCs w:val="24"/>
              </w:rPr>
              <w:footnoteReference w:id="3"/>
            </w:r>
          </w:p>
        </w:tc>
        <w:tc>
          <w:tcPr>
            <w:tcW w:w="3240" w:type="dxa"/>
            <w:gridSpan w:val="2"/>
            <w:vAlign w:val="center"/>
          </w:tcPr>
          <w:p w:rsidR="00D96B31" w:rsidRPr="001E4C59" w:rsidRDefault="007528A9" w:rsidP="007464D5">
            <w:pPr>
              <w:tabs>
                <w:tab w:val="left" w:pos="4320"/>
              </w:tabs>
              <w:ind w:right="72"/>
              <w:jc w:val="center"/>
              <w:rPr>
                <w:rFonts w:ascii="Times New Roman" w:hAnsi="Times New Roman"/>
                <w:smallCaps/>
                <w:szCs w:val="24"/>
              </w:rPr>
            </w:pPr>
            <w:r w:rsidRPr="001E4C59">
              <w:rPr>
                <w:rFonts w:ascii="Times New Roman" w:hAnsi="Times New Roman"/>
                <w:smallCaps/>
                <w:szCs w:val="24"/>
              </w:rPr>
              <w:t>Operations &amp; Maintenance</w:t>
            </w:r>
            <w:r w:rsidRPr="001E4C59">
              <w:rPr>
                <w:rStyle w:val="FootnoteReference"/>
                <w:rFonts w:ascii="Times New Roman" w:hAnsi="Times New Roman"/>
                <w:smallCaps/>
                <w:szCs w:val="24"/>
              </w:rPr>
              <w:footnoteReference w:id="4"/>
            </w:r>
          </w:p>
        </w:tc>
      </w:tr>
      <w:tr w:rsidR="002E7439" w:rsidRPr="0033146D" w:rsidTr="001E4C59">
        <w:trPr>
          <w:trHeight w:val="144"/>
          <w:tblHeader/>
        </w:trPr>
        <w:tc>
          <w:tcPr>
            <w:tcW w:w="1908" w:type="dxa"/>
            <w:vMerge/>
          </w:tcPr>
          <w:p w:rsidR="002E7439" w:rsidRPr="001E4C59" w:rsidRDefault="002E7439" w:rsidP="006223A8">
            <w:pPr>
              <w:tabs>
                <w:tab w:val="left" w:pos="4320"/>
              </w:tabs>
              <w:ind w:right="-1440"/>
              <w:rPr>
                <w:rFonts w:ascii="Times New Roman" w:hAnsi="Times New Roman"/>
                <w:smallCaps/>
                <w:szCs w:val="24"/>
              </w:rPr>
            </w:pPr>
          </w:p>
        </w:tc>
        <w:tc>
          <w:tcPr>
            <w:tcW w:w="1350" w:type="dxa"/>
          </w:tcPr>
          <w:p w:rsidR="002E7439" w:rsidRPr="001E4C59" w:rsidRDefault="002E7439" w:rsidP="009B75F2">
            <w:pPr>
              <w:tabs>
                <w:tab w:val="left" w:pos="4320"/>
              </w:tabs>
              <w:ind w:right="-1440"/>
              <w:rPr>
                <w:rFonts w:ascii="Times New Roman" w:hAnsi="Times New Roman"/>
                <w:smallCaps/>
                <w:szCs w:val="24"/>
              </w:rPr>
            </w:pPr>
            <w:r w:rsidRPr="001E4C59">
              <w:rPr>
                <w:rFonts w:ascii="Times New Roman" w:hAnsi="Times New Roman"/>
                <w:smallCaps/>
                <w:szCs w:val="24"/>
              </w:rPr>
              <w:t>Costs</w:t>
            </w:r>
          </w:p>
        </w:tc>
        <w:tc>
          <w:tcPr>
            <w:tcW w:w="1350" w:type="dxa"/>
          </w:tcPr>
          <w:p w:rsidR="002E7439" w:rsidRPr="001E4C59" w:rsidRDefault="002E7439" w:rsidP="009B75F2">
            <w:pPr>
              <w:tabs>
                <w:tab w:val="left" w:pos="4320"/>
              </w:tabs>
              <w:ind w:right="-1440"/>
              <w:rPr>
                <w:rFonts w:ascii="Times New Roman" w:hAnsi="Times New Roman"/>
                <w:smallCaps/>
                <w:szCs w:val="24"/>
                <w:vertAlign w:val="superscript"/>
              </w:rPr>
            </w:pPr>
            <w:r w:rsidRPr="001E4C59">
              <w:rPr>
                <w:rFonts w:ascii="Times New Roman" w:hAnsi="Times New Roman"/>
                <w:smallCaps/>
                <w:szCs w:val="24"/>
              </w:rPr>
              <w:t>Benefits</w:t>
            </w:r>
            <w:r w:rsidRPr="001E4C59">
              <w:rPr>
                <w:rStyle w:val="FootnoteReference"/>
                <w:rFonts w:ascii="Times New Roman" w:hAnsi="Times New Roman"/>
                <w:smallCaps/>
                <w:szCs w:val="24"/>
              </w:rPr>
              <w:footnoteReference w:id="5"/>
            </w:r>
          </w:p>
        </w:tc>
        <w:tc>
          <w:tcPr>
            <w:tcW w:w="1530" w:type="dxa"/>
          </w:tcPr>
          <w:p w:rsidR="002E7439" w:rsidRPr="001E4C59" w:rsidRDefault="002E7439" w:rsidP="009B75F2">
            <w:pPr>
              <w:tabs>
                <w:tab w:val="left" w:pos="4320"/>
              </w:tabs>
              <w:ind w:right="-1440"/>
              <w:rPr>
                <w:rFonts w:ascii="Times New Roman" w:hAnsi="Times New Roman"/>
                <w:smallCaps/>
                <w:szCs w:val="24"/>
                <w:vertAlign w:val="superscript"/>
              </w:rPr>
            </w:pPr>
            <w:r w:rsidRPr="001E4C59">
              <w:rPr>
                <w:rFonts w:ascii="Times New Roman" w:hAnsi="Times New Roman"/>
                <w:smallCaps/>
                <w:szCs w:val="24"/>
              </w:rPr>
              <w:t>Costs</w:t>
            </w:r>
          </w:p>
        </w:tc>
        <w:tc>
          <w:tcPr>
            <w:tcW w:w="1530" w:type="dxa"/>
          </w:tcPr>
          <w:p w:rsidR="002E7439" w:rsidRPr="001E4C59" w:rsidRDefault="002E7439" w:rsidP="006D0826">
            <w:pPr>
              <w:tabs>
                <w:tab w:val="left" w:pos="4320"/>
              </w:tabs>
              <w:ind w:right="-1440"/>
              <w:rPr>
                <w:rFonts w:ascii="Times New Roman" w:hAnsi="Times New Roman"/>
                <w:smallCaps/>
                <w:szCs w:val="24"/>
                <w:vertAlign w:val="superscript"/>
              </w:rPr>
            </w:pPr>
            <w:r w:rsidRPr="001E4C59">
              <w:rPr>
                <w:rFonts w:ascii="Times New Roman" w:hAnsi="Times New Roman"/>
                <w:smallCaps/>
                <w:szCs w:val="24"/>
              </w:rPr>
              <w:t>Benefits</w:t>
            </w:r>
            <w:r w:rsidR="006D0826" w:rsidRPr="001E4C59">
              <w:rPr>
                <w:rStyle w:val="FootnoteReference"/>
                <w:rFonts w:ascii="Times New Roman" w:hAnsi="Times New Roman"/>
                <w:smallCaps/>
                <w:szCs w:val="24"/>
              </w:rPr>
              <w:t>4</w:t>
            </w:r>
          </w:p>
        </w:tc>
        <w:tc>
          <w:tcPr>
            <w:tcW w:w="1530" w:type="dxa"/>
          </w:tcPr>
          <w:p w:rsidR="002E7439" w:rsidRPr="001E4C59" w:rsidRDefault="002E7439" w:rsidP="009B75F2">
            <w:pPr>
              <w:tabs>
                <w:tab w:val="left" w:pos="4320"/>
              </w:tabs>
              <w:ind w:right="-1440"/>
              <w:rPr>
                <w:rFonts w:ascii="Times New Roman" w:hAnsi="Times New Roman"/>
                <w:smallCaps/>
                <w:szCs w:val="24"/>
                <w:vertAlign w:val="superscript"/>
              </w:rPr>
            </w:pPr>
            <w:r w:rsidRPr="001E4C59">
              <w:rPr>
                <w:rFonts w:ascii="Times New Roman" w:hAnsi="Times New Roman"/>
                <w:smallCaps/>
                <w:szCs w:val="24"/>
              </w:rPr>
              <w:t>Costs</w:t>
            </w:r>
          </w:p>
        </w:tc>
        <w:tc>
          <w:tcPr>
            <w:tcW w:w="1710" w:type="dxa"/>
          </w:tcPr>
          <w:p w:rsidR="002E7439" w:rsidRPr="001E4C59" w:rsidRDefault="002E7439" w:rsidP="006D0826">
            <w:pPr>
              <w:tabs>
                <w:tab w:val="left" w:pos="4320"/>
              </w:tabs>
              <w:ind w:right="-1440"/>
              <w:rPr>
                <w:rFonts w:ascii="Times New Roman" w:hAnsi="Times New Roman"/>
                <w:smallCaps/>
                <w:szCs w:val="24"/>
                <w:vertAlign w:val="superscript"/>
              </w:rPr>
            </w:pPr>
            <w:r w:rsidRPr="001E4C59">
              <w:rPr>
                <w:rFonts w:ascii="Times New Roman" w:hAnsi="Times New Roman"/>
                <w:smallCaps/>
                <w:szCs w:val="24"/>
              </w:rPr>
              <w:t>Benefits</w:t>
            </w:r>
            <w:r w:rsidR="006D0826" w:rsidRPr="001E4C59">
              <w:rPr>
                <w:rFonts w:ascii="Times New Roman" w:hAnsi="Times New Roman"/>
                <w:smallCaps/>
                <w:szCs w:val="24"/>
                <w:vertAlign w:val="superscript"/>
              </w:rPr>
              <w:t>4</w:t>
            </w:r>
          </w:p>
        </w:tc>
      </w:tr>
      <w:tr w:rsidR="002E7439" w:rsidRPr="0033146D" w:rsidTr="00A17F31">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shd w:val="clear" w:color="auto" w:fill="C4BC96" w:themeFill="background2" w:themeFillShade="BF"/>
          </w:tcPr>
          <w:p w:rsidR="002E7439" w:rsidRPr="00A17F31" w:rsidRDefault="002E7439" w:rsidP="006223A8">
            <w:pPr>
              <w:tabs>
                <w:tab w:val="left" w:pos="4320"/>
              </w:tabs>
              <w:ind w:right="-1440"/>
              <w:rPr>
                <w:rFonts w:ascii="Times New Roman" w:hAnsi="Times New Roman"/>
                <w:szCs w:val="24"/>
              </w:rPr>
            </w:pPr>
          </w:p>
        </w:tc>
        <w:tc>
          <w:tcPr>
            <w:tcW w:w="1350" w:type="dxa"/>
            <w:shd w:val="clear" w:color="auto" w:fill="C4BC96" w:themeFill="background2" w:themeFillShade="BF"/>
          </w:tcPr>
          <w:p w:rsidR="002E7439" w:rsidRPr="00A17F31" w:rsidRDefault="002E7439" w:rsidP="006223A8">
            <w:pPr>
              <w:tabs>
                <w:tab w:val="left" w:pos="4320"/>
              </w:tabs>
              <w:ind w:right="-1440"/>
              <w:rPr>
                <w:rFonts w:ascii="Times New Roman" w:hAnsi="Times New Roman"/>
                <w:szCs w:val="24"/>
              </w:rPr>
            </w:pPr>
          </w:p>
        </w:tc>
        <w:tc>
          <w:tcPr>
            <w:tcW w:w="1530" w:type="dxa"/>
            <w:shd w:val="clear" w:color="auto" w:fill="C4BC96" w:themeFill="background2" w:themeFillShade="BF"/>
          </w:tcPr>
          <w:p w:rsidR="002E7439" w:rsidRPr="00A17F31" w:rsidRDefault="002E7439" w:rsidP="006223A8">
            <w:pPr>
              <w:tabs>
                <w:tab w:val="left" w:pos="4320"/>
              </w:tabs>
              <w:ind w:right="-1440"/>
              <w:rPr>
                <w:rFonts w:ascii="Times New Roman" w:hAnsi="Times New Roman"/>
                <w:szCs w:val="24"/>
              </w:rPr>
            </w:pPr>
          </w:p>
        </w:tc>
        <w:tc>
          <w:tcPr>
            <w:tcW w:w="1530" w:type="dxa"/>
            <w:shd w:val="clear" w:color="auto" w:fill="C4BC96" w:themeFill="background2" w:themeFillShade="BF"/>
          </w:tcPr>
          <w:p w:rsidR="002E7439" w:rsidRPr="00A17F31" w:rsidRDefault="002E7439" w:rsidP="006223A8">
            <w:pPr>
              <w:tabs>
                <w:tab w:val="left" w:pos="4320"/>
              </w:tabs>
              <w:ind w:right="-1440"/>
              <w:rPr>
                <w:rFonts w:ascii="Times New Roman" w:hAnsi="Times New Roman"/>
                <w:szCs w:val="24"/>
              </w:rPr>
            </w:pPr>
          </w:p>
        </w:tc>
        <w:tc>
          <w:tcPr>
            <w:tcW w:w="1530" w:type="dxa"/>
            <w:shd w:val="clear" w:color="auto" w:fill="C4BC96" w:themeFill="background2" w:themeFillShade="BF"/>
          </w:tcPr>
          <w:p w:rsidR="002E7439" w:rsidRPr="00A17F31" w:rsidRDefault="002E7439" w:rsidP="006223A8">
            <w:pPr>
              <w:tabs>
                <w:tab w:val="left" w:pos="4320"/>
              </w:tabs>
              <w:ind w:right="-1440"/>
              <w:rPr>
                <w:rFonts w:ascii="Times New Roman" w:hAnsi="Times New Roman"/>
                <w:szCs w:val="24"/>
              </w:rPr>
            </w:pPr>
          </w:p>
        </w:tc>
        <w:tc>
          <w:tcPr>
            <w:tcW w:w="1710" w:type="dxa"/>
            <w:shd w:val="clear" w:color="auto" w:fill="C4BC96" w:themeFill="background2" w:themeFillShade="BF"/>
          </w:tcPr>
          <w:p w:rsidR="002E7439" w:rsidRPr="00A17F31" w:rsidRDefault="002E7439" w:rsidP="006223A8">
            <w:pPr>
              <w:tabs>
                <w:tab w:val="left" w:pos="4320"/>
              </w:tabs>
              <w:ind w:right="-1440"/>
              <w:rPr>
                <w:rFonts w:ascii="Times New Roman" w:hAnsi="Times New Roman"/>
                <w:szCs w:val="24"/>
              </w:rPr>
            </w:pPr>
          </w:p>
        </w:tc>
      </w:tr>
      <w:tr w:rsidR="002E7439" w:rsidRPr="0033146D" w:rsidTr="00A17F31">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shd w:val="clear" w:color="auto" w:fill="C4BC96" w:themeFill="background2" w:themeFillShade="BF"/>
          </w:tcPr>
          <w:p w:rsidR="002E7439" w:rsidRPr="00A17F31" w:rsidRDefault="002E7439" w:rsidP="006223A8">
            <w:pPr>
              <w:tabs>
                <w:tab w:val="left" w:pos="4320"/>
              </w:tabs>
              <w:ind w:right="-1440"/>
              <w:rPr>
                <w:rFonts w:ascii="Times New Roman" w:hAnsi="Times New Roman"/>
                <w:szCs w:val="24"/>
              </w:rPr>
            </w:pPr>
          </w:p>
        </w:tc>
        <w:tc>
          <w:tcPr>
            <w:tcW w:w="1350" w:type="dxa"/>
            <w:shd w:val="clear" w:color="auto" w:fill="C4BC96" w:themeFill="background2" w:themeFillShade="BF"/>
          </w:tcPr>
          <w:p w:rsidR="002E7439" w:rsidRPr="00A17F31" w:rsidRDefault="002E7439" w:rsidP="006223A8">
            <w:pPr>
              <w:tabs>
                <w:tab w:val="left" w:pos="4320"/>
              </w:tabs>
              <w:ind w:right="-1440"/>
              <w:rPr>
                <w:rFonts w:ascii="Times New Roman" w:hAnsi="Times New Roman"/>
                <w:szCs w:val="24"/>
              </w:rPr>
            </w:pPr>
          </w:p>
        </w:tc>
        <w:tc>
          <w:tcPr>
            <w:tcW w:w="1530" w:type="dxa"/>
            <w:shd w:val="clear" w:color="auto" w:fill="C4BC96" w:themeFill="background2" w:themeFillShade="BF"/>
          </w:tcPr>
          <w:p w:rsidR="002E7439" w:rsidRPr="00A17F31" w:rsidRDefault="002E7439" w:rsidP="006223A8">
            <w:pPr>
              <w:tabs>
                <w:tab w:val="left" w:pos="4320"/>
              </w:tabs>
              <w:ind w:right="-1440"/>
              <w:rPr>
                <w:rFonts w:ascii="Times New Roman" w:hAnsi="Times New Roman"/>
                <w:szCs w:val="24"/>
              </w:rPr>
            </w:pPr>
          </w:p>
        </w:tc>
        <w:tc>
          <w:tcPr>
            <w:tcW w:w="1530" w:type="dxa"/>
            <w:shd w:val="clear" w:color="auto" w:fill="C4BC96" w:themeFill="background2" w:themeFillShade="BF"/>
          </w:tcPr>
          <w:p w:rsidR="002E7439" w:rsidRPr="00A17F31" w:rsidRDefault="002E7439" w:rsidP="006223A8">
            <w:pPr>
              <w:tabs>
                <w:tab w:val="left" w:pos="4320"/>
              </w:tabs>
              <w:ind w:right="-1440"/>
              <w:rPr>
                <w:rFonts w:ascii="Times New Roman" w:hAnsi="Times New Roman"/>
                <w:szCs w:val="24"/>
              </w:rPr>
            </w:pPr>
          </w:p>
        </w:tc>
        <w:tc>
          <w:tcPr>
            <w:tcW w:w="1530" w:type="dxa"/>
            <w:shd w:val="clear" w:color="auto" w:fill="C4BC96" w:themeFill="background2" w:themeFillShade="BF"/>
          </w:tcPr>
          <w:p w:rsidR="002E7439" w:rsidRPr="00A17F31" w:rsidRDefault="002E7439" w:rsidP="006223A8">
            <w:pPr>
              <w:tabs>
                <w:tab w:val="left" w:pos="4320"/>
              </w:tabs>
              <w:ind w:right="-1440"/>
              <w:rPr>
                <w:rFonts w:ascii="Times New Roman" w:hAnsi="Times New Roman"/>
                <w:szCs w:val="24"/>
              </w:rPr>
            </w:pPr>
          </w:p>
        </w:tc>
        <w:tc>
          <w:tcPr>
            <w:tcW w:w="1710" w:type="dxa"/>
            <w:shd w:val="clear" w:color="auto" w:fill="C4BC96" w:themeFill="background2" w:themeFillShade="BF"/>
          </w:tcPr>
          <w:p w:rsidR="002E7439" w:rsidRPr="00A17F31" w:rsidRDefault="002E7439" w:rsidP="006223A8">
            <w:pPr>
              <w:tabs>
                <w:tab w:val="left" w:pos="4320"/>
              </w:tabs>
              <w:ind w:right="-1440"/>
              <w:rPr>
                <w:rFonts w:ascii="Times New Roman" w:hAnsi="Times New Roman"/>
                <w:szCs w:val="24"/>
              </w:rPr>
            </w:pPr>
          </w:p>
        </w:tc>
      </w:tr>
      <w:tr w:rsidR="002E7439" w:rsidRPr="0033146D" w:rsidTr="00A17F31">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shd w:val="clear" w:color="auto" w:fill="C4BC96" w:themeFill="background2" w:themeFillShade="BF"/>
          </w:tcPr>
          <w:p w:rsidR="002E7439" w:rsidRPr="00A17F31" w:rsidRDefault="002E7439" w:rsidP="006223A8">
            <w:pPr>
              <w:tabs>
                <w:tab w:val="left" w:pos="4320"/>
              </w:tabs>
              <w:ind w:right="-1440"/>
              <w:rPr>
                <w:rFonts w:ascii="Times New Roman" w:hAnsi="Times New Roman"/>
                <w:szCs w:val="24"/>
              </w:rPr>
            </w:pPr>
          </w:p>
        </w:tc>
        <w:tc>
          <w:tcPr>
            <w:tcW w:w="1350" w:type="dxa"/>
            <w:shd w:val="clear" w:color="auto" w:fill="C4BC96" w:themeFill="background2" w:themeFillShade="BF"/>
          </w:tcPr>
          <w:p w:rsidR="002E7439" w:rsidRPr="00A17F31" w:rsidRDefault="002E7439" w:rsidP="006223A8">
            <w:pPr>
              <w:tabs>
                <w:tab w:val="left" w:pos="4320"/>
              </w:tabs>
              <w:ind w:right="-1440"/>
              <w:rPr>
                <w:rFonts w:ascii="Times New Roman" w:hAnsi="Times New Roman"/>
                <w:szCs w:val="24"/>
              </w:rPr>
            </w:pPr>
          </w:p>
        </w:tc>
        <w:tc>
          <w:tcPr>
            <w:tcW w:w="1530" w:type="dxa"/>
            <w:shd w:val="clear" w:color="auto" w:fill="C4BC96" w:themeFill="background2" w:themeFillShade="BF"/>
          </w:tcPr>
          <w:p w:rsidR="002E7439" w:rsidRPr="00A17F31" w:rsidRDefault="002E7439" w:rsidP="006223A8">
            <w:pPr>
              <w:tabs>
                <w:tab w:val="left" w:pos="4320"/>
              </w:tabs>
              <w:ind w:right="-1440"/>
              <w:rPr>
                <w:rFonts w:ascii="Times New Roman" w:hAnsi="Times New Roman"/>
                <w:szCs w:val="24"/>
              </w:rPr>
            </w:pPr>
          </w:p>
        </w:tc>
        <w:tc>
          <w:tcPr>
            <w:tcW w:w="1530" w:type="dxa"/>
            <w:shd w:val="clear" w:color="auto" w:fill="C4BC96" w:themeFill="background2" w:themeFillShade="BF"/>
          </w:tcPr>
          <w:p w:rsidR="002E7439" w:rsidRPr="00A17F31" w:rsidRDefault="002E7439" w:rsidP="006223A8">
            <w:pPr>
              <w:tabs>
                <w:tab w:val="left" w:pos="4320"/>
              </w:tabs>
              <w:ind w:right="-1440"/>
              <w:rPr>
                <w:rFonts w:ascii="Times New Roman" w:hAnsi="Times New Roman"/>
                <w:szCs w:val="24"/>
              </w:rPr>
            </w:pPr>
          </w:p>
        </w:tc>
        <w:tc>
          <w:tcPr>
            <w:tcW w:w="1530" w:type="dxa"/>
            <w:shd w:val="clear" w:color="auto" w:fill="C4BC96" w:themeFill="background2" w:themeFillShade="BF"/>
          </w:tcPr>
          <w:p w:rsidR="002E7439" w:rsidRPr="00A17F31" w:rsidRDefault="002E7439" w:rsidP="006223A8">
            <w:pPr>
              <w:tabs>
                <w:tab w:val="left" w:pos="4320"/>
              </w:tabs>
              <w:ind w:right="-1440"/>
              <w:rPr>
                <w:rFonts w:ascii="Times New Roman" w:hAnsi="Times New Roman"/>
                <w:szCs w:val="24"/>
              </w:rPr>
            </w:pPr>
          </w:p>
        </w:tc>
        <w:tc>
          <w:tcPr>
            <w:tcW w:w="1710" w:type="dxa"/>
            <w:shd w:val="clear" w:color="auto" w:fill="C4BC96" w:themeFill="background2" w:themeFillShade="BF"/>
          </w:tcPr>
          <w:p w:rsidR="002E7439" w:rsidRPr="00A17F31" w:rsidRDefault="002E7439" w:rsidP="006223A8">
            <w:pPr>
              <w:tabs>
                <w:tab w:val="left" w:pos="4320"/>
              </w:tabs>
              <w:ind w:right="-1440"/>
              <w:rPr>
                <w:rFonts w:ascii="Times New Roman" w:hAnsi="Times New Roman"/>
                <w:szCs w:val="24"/>
              </w:rPr>
            </w:pPr>
          </w:p>
        </w:tc>
      </w:tr>
      <w:tr w:rsidR="004A67BE" w:rsidRPr="0033146D" w:rsidTr="006A4706">
        <w:trPr>
          <w:trHeight w:val="144"/>
        </w:trPr>
        <w:tc>
          <w:tcPr>
            <w:tcW w:w="1908" w:type="dxa"/>
          </w:tcPr>
          <w:p w:rsidR="004A67BE" w:rsidRPr="0087578E" w:rsidRDefault="004A67BE"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9000" w:type="dxa"/>
            <w:gridSpan w:val="6"/>
            <w:vMerge w:val="restart"/>
          </w:tcPr>
          <w:p w:rsidR="004A67BE" w:rsidRDefault="004A67BE" w:rsidP="004A67BE">
            <w:pPr>
              <w:ind w:right="-1440"/>
              <w:jc w:val="center"/>
              <w:rPr>
                <w:rFonts w:ascii="Times New Roman" w:hAnsi="Times New Roman"/>
                <w:szCs w:val="24"/>
              </w:rPr>
            </w:pPr>
          </w:p>
          <w:p w:rsidR="004A67BE" w:rsidRPr="004A67BE" w:rsidRDefault="004A67BE" w:rsidP="004A67BE">
            <w:pPr>
              <w:ind w:left="2880" w:right="-1440"/>
              <w:rPr>
                <w:rFonts w:ascii="Times New Roman" w:hAnsi="Times New Roman"/>
                <w:i/>
                <w:szCs w:val="24"/>
              </w:rPr>
            </w:pPr>
            <w:r>
              <w:rPr>
                <w:rFonts w:ascii="Times New Roman" w:hAnsi="Times New Roman"/>
                <w:szCs w:val="24"/>
              </w:rPr>
              <w:t xml:space="preserve">       </w:t>
            </w:r>
            <w:r w:rsidRPr="004A67BE">
              <w:rPr>
                <w:rFonts w:ascii="Times New Roman" w:hAnsi="Times New Roman"/>
                <w:i/>
                <w:szCs w:val="24"/>
              </w:rPr>
              <w:t>See narrative below.</w:t>
            </w:r>
          </w:p>
        </w:tc>
      </w:tr>
      <w:tr w:rsidR="004A67BE" w:rsidRPr="0033146D" w:rsidTr="006A4706">
        <w:trPr>
          <w:trHeight w:val="144"/>
        </w:trPr>
        <w:tc>
          <w:tcPr>
            <w:tcW w:w="1908" w:type="dxa"/>
          </w:tcPr>
          <w:p w:rsidR="004A67BE" w:rsidRPr="0087578E" w:rsidRDefault="004A67BE"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9000" w:type="dxa"/>
            <w:gridSpan w:val="6"/>
            <w:vMerge/>
          </w:tcPr>
          <w:p w:rsidR="004A67BE" w:rsidRPr="0087578E" w:rsidRDefault="004A67BE" w:rsidP="006223A8">
            <w:pPr>
              <w:tabs>
                <w:tab w:val="left" w:pos="4320"/>
              </w:tabs>
              <w:ind w:right="-1440"/>
              <w:rPr>
                <w:rFonts w:ascii="Times New Roman" w:hAnsi="Times New Roman"/>
                <w:szCs w:val="24"/>
              </w:rPr>
            </w:pPr>
          </w:p>
        </w:tc>
      </w:tr>
      <w:tr w:rsidR="004A67BE" w:rsidRPr="0033146D" w:rsidTr="006A4706">
        <w:trPr>
          <w:trHeight w:val="144"/>
        </w:trPr>
        <w:tc>
          <w:tcPr>
            <w:tcW w:w="1908" w:type="dxa"/>
          </w:tcPr>
          <w:p w:rsidR="004A67BE" w:rsidRPr="0087578E" w:rsidRDefault="004A67BE"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9000" w:type="dxa"/>
            <w:gridSpan w:val="6"/>
            <w:vMerge/>
          </w:tcPr>
          <w:p w:rsidR="004A67BE" w:rsidRPr="0087578E" w:rsidRDefault="004A67BE" w:rsidP="006223A8">
            <w:pPr>
              <w:tabs>
                <w:tab w:val="left" w:pos="4320"/>
              </w:tabs>
              <w:ind w:right="-1440"/>
              <w:rPr>
                <w:rFonts w:ascii="Times New Roman" w:hAnsi="Times New Roman"/>
                <w:szCs w:val="24"/>
              </w:rPr>
            </w:pPr>
          </w:p>
        </w:tc>
      </w:tr>
    </w:tbl>
    <w:p w:rsidR="00AC0969" w:rsidRPr="00AC0969" w:rsidRDefault="00AC0969" w:rsidP="00AC0969">
      <w:pPr>
        <w:spacing w:before="60" w:after="200"/>
        <w:rPr>
          <w:rFonts w:asciiTheme="minorHAnsi" w:hAnsiTheme="minorHAnsi" w:cstheme="minorHAnsi"/>
          <w:szCs w:val="24"/>
        </w:rPr>
      </w:pPr>
      <w:r w:rsidRPr="00AC0969">
        <w:rPr>
          <w:rFonts w:asciiTheme="minorHAnsi" w:hAnsiTheme="minorHAnsi" w:cstheme="minorHAnsi"/>
          <w:szCs w:val="24"/>
        </w:rPr>
        <w:t>Because the proposed WAC section does not apply to any residential settings, we confine our narrative to commercial, industrial and institutional alone.</w:t>
      </w:r>
    </w:p>
    <w:p w:rsidR="00CC1473" w:rsidRDefault="0058144F" w:rsidP="00C770B9">
      <w:pPr>
        <w:spacing w:before="60" w:after="200"/>
        <w:rPr>
          <w:rFonts w:asciiTheme="minorHAnsi" w:hAnsiTheme="minorHAnsi" w:cstheme="minorHAnsi"/>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2319020</wp:posOffset>
                </wp:positionV>
                <wp:extent cx="1529080" cy="154940"/>
                <wp:effectExtent l="3810" t="2540" r="635" b="4445"/>
                <wp:wrapTight wrapText="bothSides">
                  <wp:wrapPolygon edited="0">
                    <wp:start x="-135" y="0"/>
                    <wp:lineTo x="-135" y="20626"/>
                    <wp:lineTo x="21600" y="20626"/>
                    <wp:lineTo x="21600" y="0"/>
                    <wp:lineTo x="-135"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15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1F4" w:rsidRPr="009F51BA" w:rsidRDefault="00A011F4" w:rsidP="00D72447">
                            <w:pPr>
                              <w:pStyle w:val="Caption"/>
                              <w:spacing w:after="0"/>
                              <w:rPr>
                                <w:rFonts w:asciiTheme="minorHAnsi" w:hAnsiTheme="minorHAnsi" w:cstheme="minorHAnsi"/>
                                <w:noProof/>
                                <w:sz w:val="26"/>
                                <w:szCs w:val="24"/>
                              </w:rPr>
                            </w:pPr>
                            <w:r w:rsidRPr="009F51BA">
                              <w:rPr>
                                <w:rFonts w:asciiTheme="minorHAnsi" w:hAnsiTheme="minorHAnsi" w:cstheme="minorHAnsi"/>
                                <w:sz w:val="20"/>
                              </w:rPr>
                              <w:t>Figure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82.6pt;width:120.4pt;height:1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" stroked="f">
                <v:textbox style="mso-fit-shape-to-text:t" inset="0,0,0,0">
                  <w:txbxContent>
                    <w:p w:rsidR="00A011F4" w:rsidRPr="009F51BA" w:rsidRDefault="00A011F4" w:rsidP="00D72447">
                      <w:pPr>
                        <w:pStyle w:val="Caption"/>
                        <w:spacing w:after="0"/>
                        <w:rPr>
                          <w:rFonts w:asciiTheme="minorHAnsi" w:hAnsiTheme="minorHAnsi" w:cstheme="minorHAnsi"/>
                          <w:noProof/>
                          <w:sz w:val="26"/>
                          <w:szCs w:val="24"/>
                        </w:rPr>
                      </w:pPr>
                      <w:r w:rsidRPr="009F51BA">
                        <w:rPr>
                          <w:rFonts w:asciiTheme="minorHAnsi" w:hAnsiTheme="minorHAnsi" w:cstheme="minorHAnsi"/>
                          <w:sz w:val="20"/>
                        </w:rPr>
                        <w:t>Figure 1</w:t>
                      </w:r>
                    </w:p>
                  </w:txbxContent>
                </v:textbox>
                <w10:wrap type="tight"/>
              </v:shape>
            </w:pict>
          </mc:Fallback>
        </mc:AlternateContent>
      </w:r>
      <w:r w:rsidR="006953F9">
        <w:rPr>
          <w:rFonts w:asciiTheme="minorHAnsi" w:hAnsiTheme="minorHAnsi" w:cstheme="minorHAnsi"/>
          <w:szCs w:val="24"/>
        </w:rPr>
        <w:t>W</w:t>
      </w:r>
      <w:r w:rsidR="006953F9" w:rsidRPr="00AC0969">
        <w:rPr>
          <w:rFonts w:asciiTheme="minorHAnsi" w:hAnsiTheme="minorHAnsi" w:cstheme="minorHAnsi"/>
          <w:szCs w:val="24"/>
        </w:rPr>
        <w:t>ater bottle filling stations as an alternative to drinking fountains are</w:t>
      </w:r>
      <w:r w:rsidR="00C770B9" w:rsidRPr="00AC0969">
        <w:rPr>
          <w:rFonts w:asciiTheme="minorHAnsi" w:hAnsiTheme="minorHAnsi" w:cstheme="minorHAnsi"/>
          <w:szCs w:val="24"/>
        </w:rPr>
        <w:t xml:space="preserve"> a fairly new product on the market. Further, the notion of promoting water as an alternative to sugary beverages is also a new effort, with increased </w:t>
      </w:r>
      <w:r w:rsidR="00AC0969" w:rsidRPr="00AC0969">
        <w:rPr>
          <w:rFonts w:asciiTheme="minorHAnsi" w:hAnsiTheme="minorHAnsi" w:cstheme="minorHAnsi"/>
          <w:szCs w:val="24"/>
        </w:rPr>
        <w:t xml:space="preserve">interest in this work coming in just the last few years. That being said, there is not </w:t>
      </w:r>
      <w:r w:rsidR="00232514">
        <w:rPr>
          <w:rFonts w:asciiTheme="minorHAnsi" w:hAnsiTheme="minorHAnsi" w:cstheme="minorHAnsi"/>
          <w:szCs w:val="24"/>
        </w:rPr>
        <w:t xml:space="preserve">yet </w:t>
      </w:r>
      <w:r w:rsidR="00AC0969" w:rsidRPr="00AC0969">
        <w:rPr>
          <w:rFonts w:asciiTheme="minorHAnsi" w:hAnsiTheme="minorHAnsi" w:cstheme="minorHAnsi"/>
          <w:szCs w:val="24"/>
        </w:rPr>
        <w:t xml:space="preserve">an unequivocal research base to recent water promotion and policy initiatives. The hypotheses are clear: it is assumed that greater access to (more attractive forms of) water via water bottle filling stations will lead to both greater water consumption and less sugary drink consumption. </w:t>
      </w:r>
      <w:r w:rsidR="00232514">
        <w:rPr>
          <w:rFonts w:asciiTheme="minorHAnsi" w:hAnsiTheme="minorHAnsi" w:cstheme="minorHAnsi"/>
          <w:szCs w:val="24"/>
        </w:rPr>
        <w:t xml:space="preserve">Having water that is both chilled and filtered that can be easily dispensed into reusable water bottles are the features that can drive greater consumption of water. </w:t>
      </w:r>
      <w:r w:rsidR="00D72447">
        <w:rPr>
          <w:rFonts w:asciiTheme="minorHAnsi" w:hAnsiTheme="minorHAnsi" w:cstheme="minorHAnsi"/>
          <w:szCs w:val="24"/>
        </w:rPr>
        <w:t xml:space="preserve">There is also at least the perception, if not the reality, that water fountains, if not temperature-controlled or properly sanitized, can spread bacteria and illness. </w:t>
      </w:r>
      <w:r w:rsidR="00AC0969" w:rsidRPr="00AC0969">
        <w:rPr>
          <w:rFonts w:asciiTheme="minorHAnsi" w:hAnsiTheme="minorHAnsi" w:cstheme="minorHAnsi"/>
          <w:szCs w:val="24"/>
        </w:rPr>
        <w:t xml:space="preserve">It is also assumed that water bottle filling stations will lead to less usage and disposal of plastic water bottles. These outcomes are </w:t>
      </w:r>
      <w:r w:rsidR="00232514">
        <w:rPr>
          <w:rFonts w:asciiTheme="minorHAnsi" w:hAnsiTheme="minorHAnsi" w:cstheme="minorHAnsi"/>
          <w:szCs w:val="24"/>
        </w:rPr>
        <w:t xml:space="preserve">real and </w:t>
      </w:r>
      <w:r w:rsidR="00AC0969" w:rsidRPr="00AC0969">
        <w:rPr>
          <w:rFonts w:asciiTheme="minorHAnsi" w:hAnsiTheme="minorHAnsi" w:cstheme="minorHAnsi"/>
          <w:szCs w:val="24"/>
        </w:rPr>
        <w:t>achievable</w:t>
      </w:r>
      <w:r w:rsidR="00232514">
        <w:rPr>
          <w:rFonts w:asciiTheme="minorHAnsi" w:hAnsiTheme="minorHAnsi" w:cstheme="minorHAnsi"/>
          <w:szCs w:val="24"/>
        </w:rPr>
        <w:t xml:space="preserve"> in the short-term but because the outcomes are more global in nature it is difficult to develop a cost/benefit ratio at this time.</w:t>
      </w:r>
      <w:r w:rsidR="00AC0969" w:rsidRPr="00AC0969">
        <w:rPr>
          <w:rFonts w:asciiTheme="minorHAnsi" w:hAnsiTheme="minorHAnsi" w:cstheme="minorHAnsi"/>
          <w:szCs w:val="24"/>
        </w:rPr>
        <w:t xml:space="preserve">  </w:t>
      </w:r>
    </w:p>
    <w:p w:rsidR="00232514" w:rsidRDefault="00F678AC" w:rsidP="00A011F4">
      <w:pPr>
        <w:spacing w:before="60" w:after="120"/>
        <w:rPr>
          <w:rFonts w:asciiTheme="minorHAnsi" w:hAnsiTheme="minorHAnsi" w:cstheme="minorHAnsi"/>
          <w:szCs w:val="24"/>
        </w:rPr>
      </w:pPr>
      <w:r>
        <w:rPr>
          <w:noProof/>
        </w:rPr>
        <w:drawing>
          <wp:anchor distT="0" distB="0" distL="114300" distR="114300" simplePos="0" relativeHeight="251658240" behindDoc="1" locked="0" layoutInCell="1" allowOverlap="1">
            <wp:simplePos x="0" y="0"/>
            <wp:positionH relativeFrom="column">
              <wp:posOffset>-1656715</wp:posOffset>
            </wp:positionH>
            <wp:positionV relativeFrom="paragraph">
              <wp:posOffset>127635</wp:posOffset>
            </wp:positionV>
            <wp:extent cx="1530350" cy="1391920"/>
            <wp:effectExtent l="19050" t="0" r="0" b="0"/>
            <wp:wrapTight wrapText="bothSides">
              <wp:wrapPolygon edited="0">
                <wp:start x="-269" y="0"/>
                <wp:lineTo x="-269" y="21285"/>
                <wp:lineTo x="21510" y="21285"/>
                <wp:lineTo x="21510" y="0"/>
                <wp:lineTo x="-26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12503" r="14304"/>
                    <a:stretch>
                      <a:fillRect/>
                    </a:stretch>
                  </pic:blipFill>
                  <pic:spPr bwMode="auto">
                    <a:xfrm>
                      <a:off x="0" y="0"/>
                      <a:ext cx="1530350" cy="1391920"/>
                    </a:xfrm>
                    <a:prstGeom prst="rect">
                      <a:avLst/>
                    </a:prstGeom>
                    <a:noFill/>
                    <a:ln w="9525">
                      <a:noFill/>
                      <a:miter lim="800000"/>
                      <a:headEnd/>
                      <a:tailEnd/>
                    </a:ln>
                  </pic:spPr>
                </pic:pic>
              </a:graphicData>
            </a:graphic>
          </wp:anchor>
        </w:drawing>
      </w:r>
      <w:r w:rsidR="00232514">
        <w:rPr>
          <w:rFonts w:asciiTheme="minorHAnsi" w:hAnsiTheme="minorHAnsi" w:cstheme="minorHAnsi"/>
          <w:szCs w:val="24"/>
        </w:rPr>
        <w:t xml:space="preserve">It is easier to develop the cost side of this equation. </w:t>
      </w:r>
      <w:r w:rsidR="0004770B">
        <w:rPr>
          <w:rFonts w:asciiTheme="minorHAnsi" w:hAnsiTheme="minorHAnsi" w:cstheme="minorHAnsi"/>
          <w:szCs w:val="24"/>
        </w:rPr>
        <w:t>Most w</w:t>
      </w:r>
      <w:r w:rsidR="00232514">
        <w:rPr>
          <w:rFonts w:asciiTheme="minorHAnsi" w:hAnsiTheme="minorHAnsi" w:cstheme="minorHAnsi"/>
          <w:szCs w:val="24"/>
        </w:rPr>
        <w:t>ater bottle filling station</w:t>
      </w:r>
      <w:r w:rsidR="0004770B">
        <w:rPr>
          <w:rFonts w:asciiTheme="minorHAnsi" w:hAnsiTheme="minorHAnsi" w:cstheme="minorHAnsi"/>
          <w:szCs w:val="24"/>
        </w:rPr>
        <w:t xml:space="preserve"> model</w:t>
      </w:r>
      <w:r w:rsidR="00232514">
        <w:rPr>
          <w:rFonts w:asciiTheme="minorHAnsi" w:hAnsiTheme="minorHAnsi" w:cstheme="minorHAnsi"/>
          <w:szCs w:val="24"/>
        </w:rPr>
        <w:t>s do cost more than regular drinking fountains – the range of additional costs</w:t>
      </w:r>
      <w:r w:rsidR="00D72447">
        <w:rPr>
          <w:rFonts w:asciiTheme="minorHAnsi" w:hAnsiTheme="minorHAnsi" w:cstheme="minorHAnsi"/>
          <w:szCs w:val="24"/>
        </w:rPr>
        <w:t xml:space="preserve"> depends on the model. There are stand-alone water bottle filling station versions that would be close to or just slightly above the cost of a </w:t>
      </w:r>
      <w:r w:rsidR="0004770B">
        <w:rPr>
          <w:rFonts w:asciiTheme="minorHAnsi" w:hAnsiTheme="minorHAnsi" w:cstheme="minorHAnsi"/>
          <w:szCs w:val="24"/>
        </w:rPr>
        <w:t xml:space="preserve">regular </w:t>
      </w:r>
      <w:r w:rsidR="00D72447">
        <w:rPr>
          <w:rFonts w:asciiTheme="minorHAnsi" w:hAnsiTheme="minorHAnsi" w:cstheme="minorHAnsi"/>
          <w:szCs w:val="24"/>
        </w:rPr>
        <w:t>drinking fountain (see Figure 1</w:t>
      </w:r>
      <w:r w:rsidR="0004770B">
        <w:rPr>
          <w:rFonts w:asciiTheme="minorHAnsi" w:hAnsiTheme="minorHAnsi" w:cstheme="minorHAnsi"/>
          <w:szCs w:val="24"/>
        </w:rPr>
        <w:t xml:space="preserve"> where a typical price </w:t>
      </w:r>
      <w:r>
        <w:rPr>
          <w:rFonts w:asciiTheme="minorHAnsi" w:hAnsiTheme="minorHAnsi" w:cstheme="minorHAnsi"/>
          <w:szCs w:val="24"/>
        </w:rPr>
        <w:t>would b</w:t>
      </w:r>
      <w:r w:rsidR="00A011F4">
        <w:rPr>
          <w:rFonts w:asciiTheme="minorHAnsi" w:hAnsiTheme="minorHAnsi" w:cstheme="minorHAnsi"/>
          <w:szCs w:val="24"/>
        </w:rPr>
        <w:t xml:space="preserve">e $400-800 depending on </w:t>
      </w:r>
      <w:r>
        <w:rPr>
          <w:rFonts w:asciiTheme="minorHAnsi" w:hAnsiTheme="minorHAnsi" w:cstheme="minorHAnsi"/>
          <w:szCs w:val="24"/>
        </w:rPr>
        <w:t>whether th</w:t>
      </w:r>
      <w:r w:rsidR="00A011F4">
        <w:rPr>
          <w:rFonts w:asciiTheme="minorHAnsi" w:hAnsiTheme="minorHAnsi" w:cstheme="minorHAnsi"/>
          <w:szCs w:val="24"/>
        </w:rPr>
        <w:t>e water is chilled and filtered</w:t>
      </w:r>
      <w:r w:rsidR="00D72447">
        <w:rPr>
          <w:rFonts w:asciiTheme="minorHAnsi" w:hAnsiTheme="minorHAnsi" w:cstheme="minorHAnsi"/>
          <w:szCs w:val="24"/>
        </w:rPr>
        <w:t>).</w:t>
      </w:r>
    </w:p>
    <w:p w:rsidR="00D72447" w:rsidRDefault="00A011F4" w:rsidP="00A011F4">
      <w:pPr>
        <w:spacing w:before="60" w:after="200"/>
        <w:rPr>
          <w:rFonts w:asciiTheme="minorHAnsi" w:hAnsiTheme="minorHAnsi" w:cstheme="minorHAnsi"/>
          <w:szCs w:val="24"/>
        </w:rPr>
      </w:pPr>
      <w:r>
        <w:rPr>
          <w:noProof/>
        </w:rPr>
        <w:drawing>
          <wp:anchor distT="0" distB="0" distL="114300" distR="114300" simplePos="0" relativeHeight="251661312" behindDoc="1" locked="0" layoutInCell="1" allowOverlap="1">
            <wp:simplePos x="0" y="0"/>
            <wp:positionH relativeFrom="column">
              <wp:posOffset>3632835</wp:posOffset>
            </wp:positionH>
            <wp:positionV relativeFrom="paragraph">
              <wp:posOffset>170815</wp:posOffset>
            </wp:positionV>
            <wp:extent cx="1469390" cy="1778000"/>
            <wp:effectExtent l="19050" t="0" r="0" b="0"/>
            <wp:wrapTight wrapText="bothSides">
              <wp:wrapPolygon edited="0">
                <wp:start x="-280" y="0"/>
                <wp:lineTo x="-280" y="21291"/>
                <wp:lineTo x="21563" y="21291"/>
                <wp:lineTo x="21563" y="0"/>
                <wp:lineTo x="-28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b="8377"/>
                    <a:stretch>
                      <a:fillRect/>
                    </a:stretch>
                  </pic:blipFill>
                  <pic:spPr bwMode="auto">
                    <a:xfrm>
                      <a:off x="0" y="0"/>
                      <a:ext cx="1469390" cy="1778000"/>
                    </a:xfrm>
                    <a:prstGeom prst="rect">
                      <a:avLst/>
                    </a:prstGeom>
                    <a:noFill/>
                    <a:ln w="9525">
                      <a:noFill/>
                      <a:miter lim="800000"/>
                      <a:headEnd/>
                      <a:tailEnd/>
                    </a:ln>
                  </pic:spPr>
                </pic:pic>
              </a:graphicData>
            </a:graphic>
          </wp:anchor>
        </w:drawing>
      </w:r>
      <w:r w:rsidR="0058144F">
        <w:rPr>
          <w:noProof/>
        </w:rPr>
        <mc:AlternateContent>
          <mc:Choice Requires="wps">
            <w:drawing>
              <wp:anchor distT="0" distB="0" distL="114300" distR="114300" simplePos="0" relativeHeight="251663360" behindDoc="0" locked="0" layoutInCell="1" allowOverlap="1">
                <wp:simplePos x="0" y="0"/>
                <wp:positionH relativeFrom="column">
                  <wp:posOffset>4680585</wp:posOffset>
                </wp:positionH>
                <wp:positionV relativeFrom="paragraph">
                  <wp:posOffset>230505</wp:posOffset>
                </wp:positionV>
                <wp:extent cx="414655" cy="309880"/>
                <wp:effectExtent l="3175" t="0" r="1270" b="0"/>
                <wp:wrapTight wrapText="bothSides">
                  <wp:wrapPolygon edited="0">
                    <wp:start x="-132" y="0"/>
                    <wp:lineTo x="-132" y="20626"/>
                    <wp:lineTo x="21600" y="20626"/>
                    <wp:lineTo x="21600" y="0"/>
                    <wp:lineTo x="-132"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1F4" w:rsidRPr="009F51BA" w:rsidRDefault="00A011F4" w:rsidP="00A011F4">
                            <w:pPr>
                              <w:pStyle w:val="Caption"/>
                              <w:spacing w:after="0"/>
                              <w:jc w:val="center"/>
                              <w:rPr>
                                <w:rFonts w:asciiTheme="minorHAnsi" w:hAnsiTheme="minorHAnsi" w:cstheme="minorHAnsi"/>
                                <w:noProof/>
                                <w:sz w:val="24"/>
                                <w:szCs w:val="20"/>
                              </w:rPr>
                            </w:pPr>
                            <w:r w:rsidRPr="009F51BA">
                              <w:rPr>
                                <w:rFonts w:asciiTheme="minorHAnsi" w:hAnsiTheme="minorHAnsi" w:cstheme="minorHAnsi"/>
                                <w:sz w:val="20"/>
                              </w:rPr>
                              <w:t>Figure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68.55pt;margin-top:18.15pt;width:32.6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" stroked="f">
                <v:textbox style="mso-fit-shape-to-text:t" inset="0,0,0,0">
                  <w:txbxContent>
                    <w:p w:rsidR="00A011F4" w:rsidRPr="009F51BA" w:rsidRDefault="00A011F4" w:rsidP="00A011F4">
                      <w:pPr>
                        <w:pStyle w:val="Caption"/>
                        <w:spacing w:after="0"/>
                        <w:jc w:val="center"/>
                        <w:rPr>
                          <w:rFonts w:asciiTheme="minorHAnsi" w:hAnsiTheme="minorHAnsi" w:cstheme="minorHAnsi"/>
                          <w:noProof/>
                          <w:sz w:val="24"/>
                          <w:szCs w:val="20"/>
                        </w:rPr>
                      </w:pPr>
                      <w:r w:rsidRPr="009F51BA">
                        <w:rPr>
                          <w:rFonts w:asciiTheme="minorHAnsi" w:hAnsiTheme="minorHAnsi" w:cstheme="minorHAnsi"/>
                          <w:sz w:val="20"/>
                        </w:rPr>
                        <w:t>Figure 2</w:t>
                      </w:r>
                    </w:p>
                  </w:txbxContent>
                </v:textbox>
                <w10:wrap type="tight"/>
              </v:shape>
            </w:pict>
          </mc:Fallback>
        </mc:AlternateContent>
      </w:r>
      <w:r w:rsidR="00D72447">
        <w:rPr>
          <w:rFonts w:asciiTheme="minorHAnsi" w:hAnsiTheme="minorHAnsi" w:cstheme="minorHAnsi"/>
          <w:szCs w:val="24"/>
        </w:rPr>
        <w:t>There are other models that include both a drinking fountain and a water bottle filling station</w:t>
      </w:r>
      <w:r w:rsidR="00F678AC">
        <w:rPr>
          <w:rFonts w:asciiTheme="minorHAnsi" w:hAnsiTheme="minorHAnsi" w:cstheme="minorHAnsi"/>
          <w:szCs w:val="24"/>
        </w:rPr>
        <w:t xml:space="preserve"> (with cooling and filtering)</w:t>
      </w:r>
      <w:r w:rsidR="00D72447">
        <w:rPr>
          <w:rFonts w:asciiTheme="minorHAnsi" w:hAnsiTheme="minorHAnsi" w:cstheme="minorHAnsi"/>
          <w:szCs w:val="24"/>
        </w:rPr>
        <w:t xml:space="preserve">; these </w:t>
      </w:r>
      <w:r w:rsidR="001B10D9">
        <w:rPr>
          <w:rFonts w:asciiTheme="minorHAnsi" w:hAnsiTheme="minorHAnsi" w:cstheme="minorHAnsi"/>
          <w:szCs w:val="24"/>
        </w:rPr>
        <w:t>may cost 2-3 times the price of a regular water fountain (see Figure 2).</w:t>
      </w:r>
      <w:r w:rsidR="0004770B">
        <w:rPr>
          <w:rFonts w:asciiTheme="minorHAnsi" w:hAnsiTheme="minorHAnsi" w:cstheme="minorHAnsi"/>
          <w:szCs w:val="24"/>
        </w:rPr>
        <w:t xml:space="preserve"> A typical price for this unit is $1,200.</w:t>
      </w:r>
    </w:p>
    <w:p w:rsidR="001B10D9" w:rsidRDefault="001B10D9" w:rsidP="00C770B9">
      <w:pPr>
        <w:spacing w:before="60" w:after="200"/>
        <w:rPr>
          <w:rFonts w:asciiTheme="minorHAnsi" w:hAnsiTheme="minorHAnsi" w:cstheme="minorHAnsi"/>
          <w:szCs w:val="24"/>
        </w:rPr>
      </w:pPr>
      <w:r>
        <w:rPr>
          <w:rFonts w:asciiTheme="minorHAnsi" w:hAnsiTheme="minorHAnsi" w:cstheme="minorHAnsi"/>
          <w:szCs w:val="24"/>
        </w:rPr>
        <w:t>For new building</w:t>
      </w:r>
      <w:r w:rsidR="00A011F4">
        <w:rPr>
          <w:rFonts w:asciiTheme="minorHAnsi" w:hAnsiTheme="minorHAnsi" w:cstheme="minorHAnsi"/>
          <w:szCs w:val="24"/>
        </w:rPr>
        <w:t>s</w:t>
      </w:r>
      <w:r>
        <w:rPr>
          <w:rFonts w:asciiTheme="minorHAnsi" w:hAnsiTheme="minorHAnsi" w:cstheme="minorHAnsi"/>
          <w:szCs w:val="24"/>
        </w:rPr>
        <w:t xml:space="preserve"> it is anticipated that the installation costs would not be different than installation of water fountains. In the</w:t>
      </w:r>
      <w:r w:rsidR="001E4C59">
        <w:rPr>
          <w:rFonts w:asciiTheme="minorHAnsi" w:hAnsiTheme="minorHAnsi" w:cstheme="minorHAnsi"/>
          <w:szCs w:val="24"/>
        </w:rPr>
        <w:t xml:space="preserve"> case of retrofits, there may be additional </w:t>
      </w:r>
      <w:r>
        <w:rPr>
          <w:rFonts w:asciiTheme="minorHAnsi" w:hAnsiTheme="minorHAnsi" w:cstheme="minorHAnsi"/>
          <w:szCs w:val="24"/>
        </w:rPr>
        <w:t xml:space="preserve">installation costs </w:t>
      </w:r>
      <w:r w:rsidR="001E4C59">
        <w:rPr>
          <w:rFonts w:asciiTheme="minorHAnsi" w:hAnsiTheme="minorHAnsi" w:cstheme="minorHAnsi"/>
          <w:szCs w:val="24"/>
        </w:rPr>
        <w:t>when compared to just replacing a drinking fountains but the magnitude of such costs</w:t>
      </w:r>
      <w:r>
        <w:rPr>
          <w:rFonts w:asciiTheme="minorHAnsi" w:hAnsiTheme="minorHAnsi" w:cstheme="minorHAnsi"/>
          <w:szCs w:val="24"/>
        </w:rPr>
        <w:t xml:space="preserve"> are hard to project given the </w:t>
      </w:r>
      <w:r w:rsidR="001E4C59">
        <w:rPr>
          <w:rFonts w:asciiTheme="minorHAnsi" w:hAnsiTheme="minorHAnsi" w:cstheme="minorHAnsi"/>
          <w:szCs w:val="24"/>
        </w:rPr>
        <w:t>variances in retrofit settings.</w:t>
      </w:r>
    </w:p>
    <w:p w:rsidR="001E4C59" w:rsidRDefault="001E4C59" w:rsidP="00B439DA">
      <w:pPr>
        <w:spacing w:after="120"/>
        <w:rPr>
          <w:rFonts w:asciiTheme="minorHAnsi" w:hAnsiTheme="minorHAnsi" w:cstheme="minorHAnsi"/>
          <w:szCs w:val="24"/>
        </w:rPr>
      </w:pPr>
      <w:r>
        <w:rPr>
          <w:rFonts w:asciiTheme="minorHAnsi" w:hAnsiTheme="minorHAnsi" w:cstheme="minorHAnsi"/>
          <w:szCs w:val="24"/>
        </w:rPr>
        <w:t xml:space="preserve">As noted previously, once installed, the enforcement requirements are </w:t>
      </w:r>
      <w:r w:rsidR="00B439DA">
        <w:rPr>
          <w:rFonts w:asciiTheme="minorHAnsi" w:hAnsiTheme="minorHAnsi" w:cstheme="minorHAnsi"/>
          <w:szCs w:val="24"/>
        </w:rPr>
        <w:t>negligible</w:t>
      </w:r>
      <w:r>
        <w:rPr>
          <w:rFonts w:asciiTheme="minorHAnsi" w:hAnsiTheme="minorHAnsi" w:cstheme="minorHAnsi"/>
          <w:szCs w:val="24"/>
        </w:rPr>
        <w:t>. There is basic upkeep that is not really different when compared to drinking fountains, with one except</w:t>
      </w:r>
      <w:r w:rsidR="00B439DA">
        <w:rPr>
          <w:rFonts w:asciiTheme="minorHAnsi" w:hAnsiTheme="minorHAnsi" w:cstheme="minorHAnsi"/>
          <w:szCs w:val="24"/>
        </w:rPr>
        <w:t xml:space="preserve">ion. Filters must be replaced </w:t>
      </w:r>
      <w:r>
        <w:rPr>
          <w:rFonts w:asciiTheme="minorHAnsi" w:hAnsiTheme="minorHAnsi" w:cstheme="minorHAnsi"/>
          <w:szCs w:val="24"/>
        </w:rPr>
        <w:t xml:space="preserve"> </w:t>
      </w:r>
      <w:r w:rsidR="00B439DA">
        <w:rPr>
          <w:rFonts w:asciiTheme="minorHAnsi" w:hAnsiTheme="minorHAnsi" w:cstheme="minorHAnsi"/>
          <w:szCs w:val="24"/>
        </w:rPr>
        <w:t>annua</w:t>
      </w:r>
      <w:r>
        <w:rPr>
          <w:rFonts w:asciiTheme="minorHAnsi" w:hAnsiTheme="minorHAnsi" w:cstheme="minorHAnsi"/>
          <w:szCs w:val="24"/>
        </w:rPr>
        <w:t>lly to yield the benefits provided by filtration.</w:t>
      </w:r>
    </w:p>
    <w:p w:rsidR="006953F9" w:rsidRPr="00B439DA" w:rsidRDefault="00232514" w:rsidP="00B439DA">
      <w:pPr>
        <w:spacing w:before="60" w:after="200"/>
        <w:rPr>
          <w:rFonts w:asciiTheme="minorHAnsi" w:hAnsiTheme="minorHAnsi" w:cstheme="minorHAnsi"/>
          <w:szCs w:val="24"/>
        </w:rPr>
      </w:pPr>
      <w:r>
        <w:rPr>
          <w:rFonts w:asciiTheme="minorHAnsi" w:hAnsiTheme="minorHAnsi" w:cstheme="minorHAnsi"/>
          <w:szCs w:val="24"/>
        </w:rPr>
        <w:t xml:space="preserve">In sum, we believe that the </w:t>
      </w:r>
      <w:r w:rsidR="003D1B11">
        <w:rPr>
          <w:rFonts w:asciiTheme="minorHAnsi" w:hAnsiTheme="minorHAnsi" w:cstheme="minorHAnsi"/>
          <w:szCs w:val="24"/>
        </w:rPr>
        <w:t xml:space="preserve">mid and long-term </w:t>
      </w:r>
      <w:r>
        <w:rPr>
          <w:rFonts w:asciiTheme="minorHAnsi" w:hAnsiTheme="minorHAnsi" w:cstheme="minorHAnsi"/>
          <w:szCs w:val="24"/>
        </w:rPr>
        <w:t>goals of improving individual health and reducing environmental impacts are clearly important and feasible which then outweigh the slight additional upfront costs.</w:t>
      </w:r>
    </w:p>
    <w:p w:rsidR="002F26F5" w:rsidRPr="00B439DA" w:rsidRDefault="00CC1473" w:rsidP="00B439DA">
      <w:pPr>
        <w:pBdr>
          <w:top w:val="single" w:sz="4" w:space="1" w:color="auto"/>
        </w:pBdr>
        <w:tabs>
          <w:tab w:val="left" w:pos="-720"/>
          <w:tab w:val="left" w:pos="0"/>
          <w:tab w:val="left" w:pos="720"/>
        </w:tabs>
        <w:ind w:left="720" w:hanging="720"/>
        <w:rPr>
          <w:rStyle w:val="Hyperlink"/>
          <w:rFonts w:ascii="Times New Roman" w:hAnsi="Times New Roman"/>
          <w:sz w:val="22"/>
          <w:szCs w:val="24"/>
        </w:rPr>
      </w:pPr>
      <w:r w:rsidRPr="00B439DA">
        <w:rPr>
          <w:rFonts w:ascii="Times New Roman" w:hAnsi="Times New Roman"/>
          <w:sz w:val="22"/>
          <w:szCs w:val="24"/>
        </w:rPr>
        <w:t>Please send your completed proposal to:</w:t>
      </w:r>
      <w:r w:rsidR="007C7179" w:rsidRPr="00B439DA">
        <w:rPr>
          <w:rFonts w:ascii="Times New Roman" w:hAnsi="Times New Roman"/>
          <w:sz w:val="22"/>
          <w:szCs w:val="24"/>
        </w:rPr>
        <w:t xml:space="preserve">  </w:t>
      </w:r>
      <w:hyperlink r:id="rId15" w:history="1">
        <w:r w:rsidRPr="00B439DA">
          <w:rPr>
            <w:rStyle w:val="Hyperlink"/>
            <w:rFonts w:ascii="Times New Roman" w:hAnsi="Times New Roman"/>
            <w:sz w:val="22"/>
            <w:szCs w:val="24"/>
          </w:rPr>
          <w:t>sbcc@ga.wa.gov</w:t>
        </w:r>
      </w:hyperlink>
    </w:p>
    <w:p w:rsidR="00B75D4C" w:rsidRPr="00B439DA" w:rsidRDefault="00B75D4C" w:rsidP="00B439DA">
      <w:pPr>
        <w:pBdr>
          <w:top w:val="single" w:sz="4" w:space="1" w:color="auto"/>
        </w:pBdr>
        <w:tabs>
          <w:tab w:val="left" w:pos="-720"/>
          <w:tab w:val="left" w:pos="0"/>
          <w:tab w:val="left" w:pos="720"/>
        </w:tabs>
        <w:ind w:left="720" w:hanging="720"/>
        <w:rPr>
          <w:rFonts w:ascii="Times New Roman" w:hAnsi="Times New Roman"/>
          <w:sz w:val="22"/>
          <w:szCs w:val="24"/>
        </w:rPr>
      </w:pPr>
      <w:r w:rsidRPr="00B439DA">
        <w:rPr>
          <w:rStyle w:val="Hyperlink"/>
          <w:rFonts w:ascii="Times New Roman" w:hAnsi="Times New Roman"/>
          <w:color w:val="auto"/>
          <w:sz w:val="22"/>
          <w:szCs w:val="24"/>
          <w:u w:val="none"/>
        </w:rPr>
        <w:t>All questions must be answered to be considered complete.</w:t>
      </w:r>
      <w:r w:rsidR="009B169E" w:rsidRPr="00B439DA">
        <w:rPr>
          <w:rStyle w:val="Hyperlink"/>
          <w:rFonts w:ascii="Times New Roman" w:hAnsi="Times New Roman"/>
          <w:color w:val="auto"/>
          <w:sz w:val="22"/>
          <w:szCs w:val="24"/>
          <w:u w:val="none"/>
        </w:rPr>
        <w:t xml:space="preserve">  </w:t>
      </w:r>
      <w:r w:rsidRPr="00B439DA">
        <w:rPr>
          <w:rStyle w:val="Hyperlink"/>
          <w:rFonts w:ascii="Times New Roman" w:hAnsi="Times New Roman"/>
          <w:color w:val="auto"/>
          <w:sz w:val="22"/>
          <w:szCs w:val="24"/>
          <w:u w:val="none"/>
        </w:rPr>
        <w:t>Incomplete proposals will not be accepted.</w:t>
      </w:r>
    </w:p>
    <w:sectPr w:rsidR="00B75D4C" w:rsidRPr="00B439DA" w:rsidSect="00754ECC">
      <w:footerReference w:type="even" r:id="rId16"/>
      <w:footerReference w:type="default" r:id="rId17"/>
      <w:headerReference w:type="first" r:id="rId18"/>
      <w:footerReference w:type="first" r:id="rId19"/>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1F4" w:rsidRDefault="00A011F4" w:rsidP="00110F55">
      <w:r>
        <w:separator/>
      </w:r>
    </w:p>
  </w:endnote>
  <w:endnote w:type="continuationSeparator" w:id="0">
    <w:p w:rsidR="00A011F4" w:rsidRDefault="00A011F4"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F4" w:rsidRPr="003E1132" w:rsidRDefault="00541623">
    <w:pPr>
      <w:pStyle w:val="Footer"/>
      <w:rPr>
        <w:sz w:val="18"/>
        <w:szCs w:val="18"/>
      </w:rPr>
    </w:pPr>
    <w:r w:rsidRPr="003E1132">
      <w:rPr>
        <w:sz w:val="18"/>
        <w:szCs w:val="18"/>
      </w:rPr>
      <w:fldChar w:fldCharType="begin"/>
    </w:r>
    <w:r w:rsidR="00A011F4" w:rsidRPr="003E1132">
      <w:rPr>
        <w:sz w:val="18"/>
        <w:szCs w:val="18"/>
      </w:rPr>
      <w:instrText xml:space="preserve"> DATE \@ "MMMM d, yyyy" </w:instrText>
    </w:r>
    <w:r w:rsidRPr="003E1132">
      <w:rPr>
        <w:sz w:val="18"/>
        <w:szCs w:val="18"/>
      </w:rPr>
      <w:fldChar w:fldCharType="separate"/>
    </w:r>
    <w:r w:rsidR="003F3CDC">
      <w:rPr>
        <w:noProof/>
        <w:sz w:val="18"/>
        <w:szCs w:val="18"/>
      </w:rPr>
      <w:t>March 3, 2015</w:t>
    </w:r>
    <w:r w:rsidRPr="003E1132">
      <w:rPr>
        <w:sz w:val="18"/>
        <w:szCs w:val="18"/>
      </w:rPr>
      <w:fldChar w:fldCharType="end"/>
    </w:r>
  </w:p>
  <w:p w:rsidR="00A011F4" w:rsidRDefault="00A011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098812"/>
      <w:docPartObj>
        <w:docPartGallery w:val="Page Numbers (Bottom of Page)"/>
        <w:docPartUnique/>
      </w:docPartObj>
    </w:sdtPr>
    <w:sdtEndPr/>
    <w:sdtContent>
      <w:p w:rsidR="00A011F4" w:rsidRDefault="0058144F">
        <w:pPr>
          <w:pStyle w:val="Footer"/>
          <w:jc w:val="right"/>
        </w:pPr>
        <w:r>
          <w:fldChar w:fldCharType="begin"/>
        </w:r>
        <w:r>
          <w:instrText xml:space="preserve"> PAGE   \* MERGEFORMAT </w:instrText>
        </w:r>
        <w:r>
          <w:fldChar w:fldCharType="separate"/>
        </w:r>
        <w:r w:rsidR="003F3CDC">
          <w:rPr>
            <w:noProof/>
          </w:rPr>
          <w:t>4</w:t>
        </w:r>
        <w:r>
          <w:rPr>
            <w:noProof/>
          </w:rPr>
          <w:fldChar w:fldCharType="end"/>
        </w:r>
      </w:p>
    </w:sdtContent>
  </w:sdt>
  <w:p w:rsidR="00A011F4" w:rsidRDefault="00A011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F4" w:rsidRPr="003E1132" w:rsidRDefault="00541623">
    <w:pPr>
      <w:pStyle w:val="Footer"/>
      <w:rPr>
        <w:sz w:val="18"/>
        <w:szCs w:val="18"/>
      </w:rPr>
    </w:pPr>
    <w:r w:rsidRPr="003E1132">
      <w:rPr>
        <w:sz w:val="18"/>
        <w:szCs w:val="18"/>
      </w:rPr>
      <w:fldChar w:fldCharType="begin"/>
    </w:r>
    <w:r w:rsidR="00A011F4" w:rsidRPr="003E1132">
      <w:rPr>
        <w:sz w:val="18"/>
        <w:szCs w:val="18"/>
      </w:rPr>
      <w:instrText xml:space="preserve"> DATE \@ "MMMM d, yyyy" </w:instrText>
    </w:r>
    <w:r w:rsidRPr="003E1132">
      <w:rPr>
        <w:sz w:val="18"/>
        <w:szCs w:val="18"/>
      </w:rPr>
      <w:fldChar w:fldCharType="separate"/>
    </w:r>
    <w:r w:rsidR="003F3CDC">
      <w:rPr>
        <w:noProof/>
        <w:sz w:val="18"/>
        <w:szCs w:val="18"/>
      </w:rPr>
      <w:t>March 3, 2015</w:t>
    </w:r>
    <w:r w:rsidRPr="003E1132">
      <w:rPr>
        <w:sz w:val="18"/>
        <w:szCs w:val="18"/>
      </w:rPr>
      <w:fldChar w:fldCharType="end"/>
    </w:r>
  </w:p>
  <w:p w:rsidR="00A011F4" w:rsidRDefault="00A01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1F4" w:rsidRDefault="00A011F4" w:rsidP="00110F55">
      <w:r>
        <w:separator/>
      </w:r>
    </w:p>
  </w:footnote>
  <w:footnote w:type="continuationSeparator" w:id="0">
    <w:p w:rsidR="00A011F4" w:rsidRDefault="00A011F4" w:rsidP="00110F55">
      <w:r>
        <w:continuationSeparator/>
      </w:r>
    </w:p>
  </w:footnote>
  <w:footnote w:id="1">
    <w:p w:rsidR="00A011F4" w:rsidRDefault="00A011F4" w:rsidP="009F51BA">
      <w:pPr>
        <w:pStyle w:val="FootnoteText"/>
      </w:pPr>
      <w:r>
        <w:rPr>
          <w:rStyle w:val="FootnoteReference"/>
        </w:rPr>
        <w:footnoteRef/>
      </w:r>
      <w:r>
        <w:t xml:space="preserve"> </w:t>
      </w:r>
      <w:r w:rsidRPr="009F51BA">
        <w:rPr>
          <w:rFonts w:asciiTheme="minorHAnsi" w:hAnsiTheme="minorHAnsi" w:cstheme="minorHAnsi"/>
        </w:rPr>
        <w:t>Woodward-Lopez G, Kao J, Ritchie L. To what extent have sugar-sweetened beverages contributed to the obesity epidemic? Pub Health Nutrition. 2010;14:499–509.</w:t>
      </w:r>
    </w:p>
  </w:footnote>
  <w:footnote w:id="2">
    <w:p w:rsidR="00A011F4" w:rsidRDefault="00A011F4"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A011F4" w:rsidRPr="00E720B3" w:rsidRDefault="00A011F4" w:rsidP="009F51BA">
      <w:pPr>
        <w:tabs>
          <w:tab w:val="left" w:pos="4320"/>
        </w:tabs>
        <w:ind w:right="-1440"/>
        <w:rPr>
          <w:rFonts w:ascii="Times New Roman" w:hAnsi="Times New Roman"/>
          <w:sz w:val="16"/>
          <w:szCs w:val="16"/>
        </w:rPr>
      </w:pPr>
      <w:r w:rsidRPr="00D255F0">
        <w:rPr>
          <w:rFonts w:ascii="Times New Roman" w:hAnsi="Times New Roman"/>
          <w:sz w:val="16"/>
          <w:szCs w:val="16"/>
        </w:rPr>
        <w:t>that impact the total cost of the construction to the</w:t>
      </w:r>
      <w:r>
        <w:rPr>
          <w:rFonts w:ascii="Times New Roman" w:hAnsi="Times New Roman"/>
          <w:sz w:val="16"/>
          <w:szCs w:val="16"/>
        </w:rPr>
        <w:t xml:space="preserve"> owner/consumer.</w:t>
      </w:r>
    </w:p>
  </w:footnote>
  <w:footnote w:id="3">
    <w:p w:rsidR="00A011F4" w:rsidRPr="00E720B3" w:rsidRDefault="00A011F4" w:rsidP="009F51BA">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footnote>
  <w:footnote w:id="4">
    <w:p w:rsidR="00A011F4" w:rsidRPr="007528A9" w:rsidRDefault="00A011F4" w:rsidP="009F51BA">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footnote>
  <w:footnote w:id="5">
    <w:p w:rsidR="00A011F4" w:rsidRPr="00E720B3" w:rsidRDefault="00A011F4" w:rsidP="009F51BA">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r>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r w:rsidRPr="00D255F0">
        <w:rPr>
          <w:rFonts w:ascii="Times New Roman" w:hAnsi="Times New Roman"/>
          <w:sz w:val="16"/>
          <w:szCs w:val="16"/>
        </w:rPr>
        <w:t xml:space="preserve"> </w:t>
      </w:r>
    </w:p>
    <w:p w:rsidR="00A011F4" w:rsidRPr="009B75F2" w:rsidRDefault="00A011F4">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F4" w:rsidRDefault="00A011F4" w:rsidP="00754ECC">
    <w:pPr>
      <w:pStyle w:val="Header"/>
      <w:jc w:val="center"/>
      <w:rPr>
        <w:rFonts w:ascii="Arial" w:hAnsi="Arial"/>
      </w:rPr>
    </w:pPr>
    <w:r>
      <w:rPr>
        <w:rFonts w:ascii="Arial" w:hAnsi="Arial"/>
        <w:noProof/>
      </w:rPr>
      <w:drawing>
        <wp:inline distT="0" distB="0" distL="0" distR="0">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A011F4" w:rsidRPr="007D0057" w:rsidRDefault="00A011F4"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A011F4" w:rsidRDefault="00A011F4"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A011F4" w:rsidRDefault="00A011F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A166D59"/>
    <w:multiLevelType w:val="hybridMultilevel"/>
    <w:tmpl w:val="9D3EC0F6"/>
    <w:lvl w:ilvl="0" w:tplc="A3AC69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9"/>
  </w:num>
  <w:num w:numId="6">
    <w:abstractNumId w:val="7"/>
  </w:num>
  <w:num w:numId="7">
    <w:abstractNumId w:val="4"/>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4770B"/>
    <w:rsid w:val="00075F76"/>
    <w:rsid w:val="00082B95"/>
    <w:rsid w:val="000835B8"/>
    <w:rsid w:val="000C25C1"/>
    <w:rsid w:val="000F53B4"/>
    <w:rsid w:val="000F721F"/>
    <w:rsid w:val="00101653"/>
    <w:rsid w:val="00110F55"/>
    <w:rsid w:val="00133212"/>
    <w:rsid w:val="001339A5"/>
    <w:rsid w:val="00154450"/>
    <w:rsid w:val="0016341B"/>
    <w:rsid w:val="00180891"/>
    <w:rsid w:val="00184566"/>
    <w:rsid w:val="001B10D9"/>
    <w:rsid w:val="001C0D81"/>
    <w:rsid w:val="001D4EC7"/>
    <w:rsid w:val="001E456B"/>
    <w:rsid w:val="001E4C59"/>
    <w:rsid w:val="001F6C65"/>
    <w:rsid w:val="002020FC"/>
    <w:rsid w:val="0020492D"/>
    <w:rsid w:val="00211AD1"/>
    <w:rsid w:val="00227B70"/>
    <w:rsid w:val="00232514"/>
    <w:rsid w:val="002365DA"/>
    <w:rsid w:val="00243532"/>
    <w:rsid w:val="002545F1"/>
    <w:rsid w:val="00256274"/>
    <w:rsid w:val="0029621B"/>
    <w:rsid w:val="002A15CB"/>
    <w:rsid w:val="002A2854"/>
    <w:rsid w:val="002E7439"/>
    <w:rsid w:val="002F26F5"/>
    <w:rsid w:val="002F6438"/>
    <w:rsid w:val="00300162"/>
    <w:rsid w:val="00313FF3"/>
    <w:rsid w:val="00320225"/>
    <w:rsid w:val="0033146D"/>
    <w:rsid w:val="003473BF"/>
    <w:rsid w:val="003657C1"/>
    <w:rsid w:val="0038770A"/>
    <w:rsid w:val="003917F8"/>
    <w:rsid w:val="003A0F34"/>
    <w:rsid w:val="003A33C8"/>
    <w:rsid w:val="003A6595"/>
    <w:rsid w:val="003A7797"/>
    <w:rsid w:val="003C0F56"/>
    <w:rsid w:val="003D1B11"/>
    <w:rsid w:val="003E0550"/>
    <w:rsid w:val="003E1132"/>
    <w:rsid w:val="003E55CD"/>
    <w:rsid w:val="003F04BC"/>
    <w:rsid w:val="003F08BE"/>
    <w:rsid w:val="003F0FD9"/>
    <w:rsid w:val="003F33B2"/>
    <w:rsid w:val="003F3CDC"/>
    <w:rsid w:val="003F42A2"/>
    <w:rsid w:val="004268DA"/>
    <w:rsid w:val="00497E7E"/>
    <w:rsid w:val="004A172E"/>
    <w:rsid w:val="004A67BE"/>
    <w:rsid w:val="004A786B"/>
    <w:rsid w:val="004B0207"/>
    <w:rsid w:val="004B5701"/>
    <w:rsid w:val="004C5BFC"/>
    <w:rsid w:val="004D417F"/>
    <w:rsid w:val="004E087B"/>
    <w:rsid w:val="004F208D"/>
    <w:rsid w:val="00502C30"/>
    <w:rsid w:val="00514761"/>
    <w:rsid w:val="00523321"/>
    <w:rsid w:val="005400B0"/>
    <w:rsid w:val="00541623"/>
    <w:rsid w:val="005471E3"/>
    <w:rsid w:val="00552BDC"/>
    <w:rsid w:val="0058144F"/>
    <w:rsid w:val="00586A99"/>
    <w:rsid w:val="00603175"/>
    <w:rsid w:val="006223A8"/>
    <w:rsid w:val="0062368C"/>
    <w:rsid w:val="00627A01"/>
    <w:rsid w:val="006309FD"/>
    <w:rsid w:val="0063479B"/>
    <w:rsid w:val="006607C5"/>
    <w:rsid w:val="00680D5C"/>
    <w:rsid w:val="00684BD7"/>
    <w:rsid w:val="00690B56"/>
    <w:rsid w:val="006953F9"/>
    <w:rsid w:val="006A706F"/>
    <w:rsid w:val="006B12E1"/>
    <w:rsid w:val="006B7688"/>
    <w:rsid w:val="006B782D"/>
    <w:rsid w:val="006D0826"/>
    <w:rsid w:val="006D08D9"/>
    <w:rsid w:val="007100B9"/>
    <w:rsid w:val="0071704D"/>
    <w:rsid w:val="0072082E"/>
    <w:rsid w:val="0072394F"/>
    <w:rsid w:val="007464D5"/>
    <w:rsid w:val="007528A9"/>
    <w:rsid w:val="00754ECC"/>
    <w:rsid w:val="00771BC9"/>
    <w:rsid w:val="007839BB"/>
    <w:rsid w:val="00790A22"/>
    <w:rsid w:val="007A5DC3"/>
    <w:rsid w:val="007B78ED"/>
    <w:rsid w:val="007C1CE4"/>
    <w:rsid w:val="007C7179"/>
    <w:rsid w:val="007D72F3"/>
    <w:rsid w:val="007F5B2F"/>
    <w:rsid w:val="007F67BF"/>
    <w:rsid w:val="007F7C52"/>
    <w:rsid w:val="0082063B"/>
    <w:rsid w:val="008232EC"/>
    <w:rsid w:val="00824E7A"/>
    <w:rsid w:val="00833E6E"/>
    <w:rsid w:val="00860844"/>
    <w:rsid w:val="008650E6"/>
    <w:rsid w:val="00867EED"/>
    <w:rsid w:val="00872C59"/>
    <w:rsid w:val="00873296"/>
    <w:rsid w:val="0087578E"/>
    <w:rsid w:val="0088060B"/>
    <w:rsid w:val="008806BC"/>
    <w:rsid w:val="008F2286"/>
    <w:rsid w:val="00904963"/>
    <w:rsid w:val="00916C2B"/>
    <w:rsid w:val="00916DF3"/>
    <w:rsid w:val="0092653D"/>
    <w:rsid w:val="009359D1"/>
    <w:rsid w:val="0096271B"/>
    <w:rsid w:val="00965EED"/>
    <w:rsid w:val="009A5583"/>
    <w:rsid w:val="009B169E"/>
    <w:rsid w:val="009B7373"/>
    <w:rsid w:val="009B75F2"/>
    <w:rsid w:val="009E0F3E"/>
    <w:rsid w:val="009F2267"/>
    <w:rsid w:val="009F51BA"/>
    <w:rsid w:val="00A011F4"/>
    <w:rsid w:val="00A17F31"/>
    <w:rsid w:val="00A22418"/>
    <w:rsid w:val="00A91B50"/>
    <w:rsid w:val="00AB3F11"/>
    <w:rsid w:val="00AB555C"/>
    <w:rsid w:val="00AC0969"/>
    <w:rsid w:val="00AD58BB"/>
    <w:rsid w:val="00AE54EB"/>
    <w:rsid w:val="00B002D8"/>
    <w:rsid w:val="00B301C3"/>
    <w:rsid w:val="00B439DA"/>
    <w:rsid w:val="00B7203D"/>
    <w:rsid w:val="00B75D4C"/>
    <w:rsid w:val="00B928C3"/>
    <w:rsid w:val="00BA1D4E"/>
    <w:rsid w:val="00BA22EC"/>
    <w:rsid w:val="00BB1D76"/>
    <w:rsid w:val="00BE1D37"/>
    <w:rsid w:val="00BE1E8B"/>
    <w:rsid w:val="00C40E7E"/>
    <w:rsid w:val="00C43DE9"/>
    <w:rsid w:val="00C517B3"/>
    <w:rsid w:val="00C7097D"/>
    <w:rsid w:val="00C74967"/>
    <w:rsid w:val="00C770B9"/>
    <w:rsid w:val="00C80605"/>
    <w:rsid w:val="00CC0D13"/>
    <w:rsid w:val="00CC1473"/>
    <w:rsid w:val="00CC1844"/>
    <w:rsid w:val="00CC3D5F"/>
    <w:rsid w:val="00CC65F9"/>
    <w:rsid w:val="00CE5E29"/>
    <w:rsid w:val="00CF39B9"/>
    <w:rsid w:val="00D00EEE"/>
    <w:rsid w:val="00D17C4C"/>
    <w:rsid w:val="00D255F0"/>
    <w:rsid w:val="00D65EA7"/>
    <w:rsid w:val="00D72447"/>
    <w:rsid w:val="00D807B3"/>
    <w:rsid w:val="00D96B31"/>
    <w:rsid w:val="00D96E40"/>
    <w:rsid w:val="00DC3F1F"/>
    <w:rsid w:val="00DD24FC"/>
    <w:rsid w:val="00DF7283"/>
    <w:rsid w:val="00E16D5E"/>
    <w:rsid w:val="00E36028"/>
    <w:rsid w:val="00E4676B"/>
    <w:rsid w:val="00E55015"/>
    <w:rsid w:val="00E720B3"/>
    <w:rsid w:val="00E72D6B"/>
    <w:rsid w:val="00E74552"/>
    <w:rsid w:val="00EA30B1"/>
    <w:rsid w:val="00EB17C9"/>
    <w:rsid w:val="00EB1DAB"/>
    <w:rsid w:val="00EC001A"/>
    <w:rsid w:val="00EC75B4"/>
    <w:rsid w:val="00F22CDB"/>
    <w:rsid w:val="00F24BA3"/>
    <w:rsid w:val="00F678AC"/>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unhideWhenUsed/>
    <w:rsid w:val="003E55CD"/>
    <w:rPr>
      <w:sz w:val="20"/>
    </w:rPr>
  </w:style>
  <w:style w:type="character" w:customStyle="1" w:styleId="FootnoteTextChar">
    <w:name w:val="Footnote Text Char"/>
    <w:basedOn w:val="DefaultParagraphFont"/>
    <w:link w:val="FootnoteText"/>
    <w:uiPriority w:val="99"/>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paragraph" w:styleId="Caption">
    <w:name w:val="caption"/>
    <w:basedOn w:val="Normal"/>
    <w:next w:val="Normal"/>
    <w:uiPriority w:val="35"/>
    <w:unhideWhenUsed/>
    <w:qFormat/>
    <w:rsid w:val="00D72447"/>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unhideWhenUsed/>
    <w:rsid w:val="003E55CD"/>
    <w:rPr>
      <w:sz w:val="20"/>
    </w:rPr>
  </w:style>
  <w:style w:type="character" w:customStyle="1" w:styleId="FootnoteTextChar">
    <w:name w:val="Footnote Text Char"/>
    <w:basedOn w:val="DefaultParagraphFont"/>
    <w:link w:val="FootnoteText"/>
    <w:uiPriority w:val="99"/>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paragraph" w:styleId="Caption">
    <w:name w:val="caption"/>
    <w:basedOn w:val="Normal"/>
    <w:next w:val="Normal"/>
    <w:uiPriority w:val="35"/>
    <w:unhideWhenUsed/>
    <w:qFormat/>
    <w:rsid w:val="00D7244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fortress.wa.gov/ga/apps/SBCC/File.ashx?cid=180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tress.wa.gov/ga/apps/SBCC/File.ashx?cid=1803" TargetMode="External"/><Relationship Id="rId5" Type="http://schemas.openxmlformats.org/officeDocument/2006/relationships/settings" Target="settings.xml"/><Relationship Id="rId15" Type="http://schemas.openxmlformats.org/officeDocument/2006/relationships/hyperlink" Target="mailto:sbcc@ga.wa.gov" TargetMode="External"/><Relationship Id="rId10" Type="http://schemas.openxmlformats.org/officeDocument/2006/relationships/hyperlink" Target="https://fortress.wa.gov/ga/apps/sbcc/Page.aspx?nid=191"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vicsolutions@comcast.net"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6884B-9D2C-45BF-B68E-BEBAC72C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1655</Words>
  <Characters>9434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11067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Bryden, Peggy (DES)</cp:lastModifiedBy>
  <cp:revision>2</cp:revision>
  <cp:lastPrinted>2014-02-11T19:27:00Z</cp:lastPrinted>
  <dcterms:created xsi:type="dcterms:W3CDTF">2015-03-03T22:26:00Z</dcterms:created>
  <dcterms:modified xsi:type="dcterms:W3CDTF">2015-03-03T22:26:00Z</dcterms:modified>
</cp:coreProperties>
</file>