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B60881" w:rsidP="00B60881">
      <w:pPr>
        <w:tabs>
          <w:tab w:val="left" w:pos="-720"/>
        </w:tabs>
        <w:jc w:val="right"/>
        <w:rPr>
          <w:rFonts w:ascii="Times New Roman" w:hAnsi="Times New Roman"/>
          <w:b/>
        </w:rPr>
      </w:pPr>
      <w:r>
        <w:rPr>
          <w:rFonts w:ascii="Times New Roman" w:hAnsi="Times New Roman"/>
          <w:b/>
        </w:rPr>
        <w:t>15-046</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A4682A">
        <w:rPr>
          <w:rFonts w:ascii="Times New Roman" w:hAnsi="Times New Roman"/>
          <w:szCs w:val="24"/>
        </w:rPr>
        <w:t>X</w:t>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60881">
        <w:rPr>
          <w:rFonts w:ascii="Times New Roman" w:hAnsi="Times New Roman"/>
          <w:szCs w:val="24"/>
        </w:rPr>
      </w:r>
      <w:r w:rsidR="00B6088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60881">
        <w:rPr>
          <w:rFonts w:ascii="Times New Roman" w:hAnsi="Times New Roman"/>
          <w:szCs w:val="24"/>
        </w:rPr>
      </w:r>
      <w:r w:rsidR="00B60881">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60881">
        <w:rPr>
          <w:rFonts w:ascii="Times New Roman" w:hAnsi="Times New Roman"/>
          <w:szCs w:val="24"/>
        </w:rPr>
      </w:r>
      <w:r w:rsidR="00B6088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60881">
        <w:rPr>
          <w:rFonts w:ascii="Times New Roman" w:hAnsi="Times New Roman"/>
          <w:szCs w:val="24"/>
        </w:rPr>
      </w:r>
      <w:r w:rsidR="00B6088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60881">
        <w:rPr>
          <w:rFonts w:ascii="Times New Roman" w:hAnsi="Times New Roman"/>
          <w:szCs w:val="24"/>
        </w:rPr>
      </w:r>
      <w:r w:rsidR="00B6088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60881">
        <w:rPr>
          <w:rFonts w:ascii="Times New Roman" w:hAnsi="Times New Roman"/>
          <w:szCs w:val="24"/>
        </w:rPr>
      </w:r>
      <w:r w:rsidR="00B6088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60881">
        <w:rPr>
          <w:rFonts w:ascii="Times New Roman" w:hAnsi="Times New Roman"/>
          <w:szCs w:val="24"/>
        </w:rPr>
      </w:r>
      <w:r w:rsidR="00B6088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60881">
        <w:rPr>
          <w:rFonts w:ascii="Times New Roman" w:hAnsi="Times New Roman"/>
          <w:szCs w:val="24"/>
        </w:rPr>
      </w:r>
      <w:r w:rsidR="00B6088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60881">
        <w:rPr>
          <w:rFonts w:ascii="Times New Roman" w:hAnsi="Times New Roman"/>
          <w:szCs w:val="24"/>
        </w:rPr>
      </w:r>
      <w:r w:rsidR="00B60881">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60881">
        <w:rPr>
          <w:rFonts w:ascii="Times New Roman" w:hAnsi="Times New Roman"/>
          <w:szCs w:val="24"/>
        </w:rPr>
      </w:r>
      <w:r w:rsidR="00B6088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60881">
        <w:rPr>
          <w:rFonts w:ascii="Times New Roman" w:hAnsi="Times New Roman"/>
          <w:szCs w:val="24"/>
        </w:rPr>
      </w:r>
      <w:r w:rsidR="00B6088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Pr="00A4682A" w:rsidRDefault="00BB1D76" w:rsidP="00A4682A">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r w:rsidR="00A4682A" w:rsidRPr="00A4682A">
        <w:rPr>
          <w:rFonts w:asciiTheme="minorHAnsi" w:hAnsiTheme="minorHAnsi"/>
          <w:b/>
          <w:bCs/>
          <w:sz w:val="20"/>
        </w:rPr>
        <w:t>WAC 51-50-009</w:t>
      </w:r>
    </w:p>
    <w:p w:rsidR="00CC1473" w:rsidRPr="00A4682A" w:rsidRDefault="00A4682A" w:rsidP="00A4682A">
      <w:pPr>
        <w:tabs>
          <w:tab w:val="left" w:pos="-720"/>
        </w:tabs>
        <w:spacing w:before="160"/>
        <w:rPr>
          <w:rFonts w:ascii="Times New Roman" w:hAnsi="Times New Roman"/>
          <w:b/>
        </w:rPr>
      </w:pPr>
      <w:r>
        <w:rPr>
          <w:rFonts w:ascii="Times New Roman" w:hAnsi="Times New Roman"/>
          <w:b/>
          <w:sz w:val="20"/>
        </w:rPr>
        <w:tab/>
      </w:r>
      <w:r w:rsidR="004A172E">
        <w:rPr>
          <w:rFonts w:ascii="Times New Roman" w:hAnsi="Times New Roman"/>
          <w:b/>
        </w:rPr>
        <w:t>Title</w:t>
      </w:r>
      <w:r w:rsidR="00243532">
        <w:rPr>
          <w:rFonts w:ascii="Times New Roman" w:hAnsi="Times New Roman"/>
          <w:b/>
        </w:rPr>
        <w:t xml:space="preserve">: </w:t>
      </w:r>
      <w:r>
        <w:rPr>
          <w:b/>
          <w:bCs/>
          <w:sz w:val="20"/>
        </w:rPr>
        <w:t>RECYCLABLE MATERIALS</w:t>
      </w:r>
      <w:r w:rsidRPr="00C606DA">
        <w:rPr>
          <w:b/>
          <w:bCs/>
          <w:sz w:val="20"/>
          <w:u w:val="single"/>
        </w:rPr>
        <w:t>, COMPOST</w:t>
      </w:r>
      <w:r>
        <w:rPr>
          <w:b/>
          <w:bCs/>
          <w:sz w:val="20"/>
        </w:rPr>
        <w:t xml:space="preserve"> AND SOLID WASTE STORAGE</w:t>
      </w: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F015A5">
        <w:rPr>
          <w:rFonts w:ascii="Times New Roman" w:hAnsi="Times New Roman"/>
          <w:b/>
        </w:rPr>
        <w:t xml:space="preserve"> </w:t>
      </w:r>
      <w:r w:rsidR="00150E06" w:rsidRPr="00150E06">
        <w:rPr>
          <w:rFonts w:ascii="Times New Roman" w:hAnsi="Times New Roman"/>
        </w:rPr>
        <w:t xml:space="preserve">City of Mercer Island, </w:t>
      </w:r>
      <w:r w:rsidR="00150E06" w:rsidRPr="00150E06">
        <w:t>Bruce Bassett</w:t>
      </w:r>
      <w:r w:rsidR="007464D5">
        <w:rPr>
          <w:rFonts w:ascii="Times New Roman" w:hAnsi="Times New Roman"/>
          <w:b/>
        </w:rPr>
        <w:tab/>
      </w:r>
    </w:p>
    <w:p w:rsidR="00243532" w:rsidRPr="00F015A5" w:rsidRDefault="00243532" w:rsidP="00F015A5">
      <w:pPr>
        <w:rPr>
          <w:color w:val="1F497D"/>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F015A5">
        <w:rPr>
          <w:rFonts w:ascii="Times New Roman" w:hAnsi="Times New Roman"/>
          <w:b/>
        </w:rPr>
        <w:t xml:space="preserve"> </w:t>
      </w:r>
      <w:r w:rsidR="00150E06">
        <w:t>Mayor</w:t>
      </w:r>
      <w:r w:rsidR="004A172E" w:rsidRPr="00F015A5">
        <w:tab/>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F015A5">
        <w:rPr>
          <w:rFonts w:ascii="Times New Roman" w:hAnsi="Times New Roman"/>
          <w:b/>
        </w:rPr>
        <w:t xml:space="preserve"> </w:t>
      </w:r>
      <w:r w:rsidR="00F015A5" w:rsidRPr="00F015A5">
        <w:t>February 25, 2015</w:t>
      </w:r>
    </w:p>
    <w:p w:rsidR="00BB1D76" w:rsidRDefault="00BB1D76" w:rsidP="00BB1D76">
      <w:pPr>
        <w:tabs>
          <w:tab w:val="left" w:pos="-720"/>
        </w:tabs>
        <w:rPr>
          <w:rFonts w:ascii="Times New Roman" w:hAnsi="Times New Roman"/>
        </w:rPr>
      </w:pPr>
    </w:p>
    <w:p w:rsidR="00F015A5" w:rsidRDefault="00BB1D76" w:rsidP="00F015A5">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3510"/>
        <w:gridCol w:w="3960"/>
      </w:tblGrid>
      <w:tr w:rsidR="00F015A5" w:rsidRPr="00F015A5" w:rsidTr="00150E06">
        <w:tc>
          <w:tcPr>
            <w:tcW w:w="2628" w:type="dxa"/>
          </w:tcPr>
          <w:p w:rsidR="00F015A5" w:rsidRPr="00F015A5" w:rsidRDefault="00F015A5" w:rsidP="00C463D1">
            <w:pPr>
              <w:tabs>
                <w:tab w:val="left" w:pos="-720"/>
              </w:tabs>
              <w:spacing w:line="276" w:lineRule="auto"/>
              <w:rPr>
                <w:rFonts w:ascii="Times New Roman" w:hAnsi="Times New Roman"/>
                <w:b/>
              </w:rPr>
            </w:pPr>
            <w:r w:rsidRPr="00F015A5">
              <w:rPr>
                <w:rFonts w:ascii="Times New Roman" w:hAnsi="Times New Roman"/>
                <w:b/>
              </w:rPr>
              <w:t>Name:</w:t>
            </w:r>
            <w:r w:rsidRPr="00F015A5">
              <w:rPr>
                <w:rFonts w:ascii="Times New Roman" w:hAnsi="Times New Roman"/>
                <w:b/>
              </w:rPr>
              <w:tab/>
              <w:t xml:space="preserve"> </w:t>
            </w:r>
          </w:p>
        </w:tc>
        <w:tc>
          <w:tcPr>
            <w:tcW w:w="3510" w:type="dxa"/>
          </w:tcPr>
          <w:p w:rsidR="00F015A5" w:rsidRPr="00F015A5" w:rsidRDefault="00F015A5" w:rsidP="00F015A5">
            <w:r w:rsidRPr="00F015A5">
              <w:t>Tana Senn</w:t>
            </w:r>
          </w:p>
        </w:tc>
        <w:tc>
          <w:tcPr>
            <w:tcW w:w="3960" w:type="dxa"/>
          </w:tcPr>
          <w:p w:rsidR="00F015A5" w:rsidRPr="00F015A5" w:rsidRDefault="00F015A5" w:rsidP="00F015A5">
            <w:r w:rsidRPr="00F015A5">
              <w:t>Chuck Murray</w:t>
            </w:r>
          </w:p>
        </w:tc>
      </w:tr>
      <w:tr w:rsidR="00F015A5" w:rsidRPr="00F015A5" w:rsidTr="00150E06">
        <w:tc>
          <w:tcPr>
            <w:tcW w:w="2628" w:type="dxa"/>
          </w:tcPr>
          <w:p w:rsidR="00F015A5" w:rsidRPr="00F015A5" w:rsidRDefault="00F015A5" w:rsidP="00C463D1">
            <w:pPr>
              <w:tabs>
                <w:tab w:val="left" w:pos="-720"/>
              </w:tabs>
              <w:spacing w:line="276" w:lineRule="auto"/>
              <w:rPr>
                <w:rFonts w:ascii="Times New Roman" w:hAnsi="Times New Roman"/>
                <w:b/>
              </w:rPr>
            </w:pPr>
            <w:r w:rsidRPr="00F015A5">
              <w:rPr>
                <w:rFonts w:ascii="Times New Roman" w:hAnsi="Times New Roman"/>
                <w:b/>
              </w:rPr>
              <w:tab/>
              <w:t>Title:</w:t>
            </w:r>
          </w:p>
        </w:tc>
        <w:tc>
          <w:tcPr>
            <w:tcW w:w="3510" w:type="dxa"/>
          </w:tcPr>
          <w:p w:rsidR="00F015A5" w:rsidRPr="00F015A5" w:rsidRDefault="00F015A5" w:rsidP="00C463D1">
            <w:pPr>
              <w:tabs>
                <w:tab w:val="left" w:pos="-720"/>
              </w:tabs>
              <w:spacing w:line="276" w:lineRule="auto"/>
              <w:rPr>
                <w:rFonts w:ascii="Times New Roman" w:hAnsi="Times New Roman"/>
                <w:b/>
              </w:rPr>
            </w:pPr>
            <w:r w:rsidRPr="00F015A5">
              <w:t>State Representative, 41st LD</w:t>
            </w:r>
          </w:p>
        </w:tc>
        <w:tc>
          <w:tcPr>
            <w:tcW w:w="3960" w:type="dxa"/>
          </w:tcPr>
          <w:p w:rsidR="00F015A5" w:rsidRPr="00F015A5" w:rsidRDefault="00F015A5" w:rsidP="00F015A5">
            <w:r w:rsidRPr="00F015A5">
              <w:t>SR Energy Policy Specialist</w:t>
            </w:r>
          </w:p>
        </w:tc>
      </w:tr>
      <w:tr w:rsidR="00F015A5" w:rsidRPr="00F015A5" w:rsidTr="00150E06">
        <w:tc>
          <w:tcPr>
            <w:tcW w:w="2628" w:type="dxa"/>
          </w:tcPr>
          <w:p w:rsidR="00F015A5" w:rsidRPr="00F015A5" w:rsidRDefault="00F015A5" w:rsidP="00C463D1">
            <w:pPr>
              <w:tabs>
                <w:tab w:val="left" w:pos="-720"/>
              </w:tabs>
              <w:spacing w:line="276" w:lineRule="auto"/>
              <w:rPr>
                <w:rFonts w:ascii="Times New Roman" w:hAnsi="Times New Roman"/>
              </w:rPr>
            </w:pPr>
            <w:r w:rsidRPr="00F015A5">
              <w:rPr>
                <w:rFonts w:ascii="Times New Roman" w:hAnsi="Times New Roman"/>
              </w:rPr>
              <w:t xml:space="preserve">  </w:t>
            </w:r>
            <w:r w:rsidRPr="00F015A5">
              <w:rPr>
                <w:rFonts w:ascii="Times New Roman" w:hAnsi="Times New Roman"/>
              </w:rPr>
              <w:tab/>
            </w:r>
            <w:r w:rsidRPr="00F015A5">
              <w:rPr>
                <w:rFonts w:ascii="Times New Roman" w:hAnsi="Times New Roman"/>
                <w:b/>
              </w:rPr>
              <w:t xml:space="preserve">Address:  </w:t>
            </w:r>
          </w:p>
        </w:tc>
        <w:tc>
          <w:tcPr>
            <w:tcW w:w="3510" w:type="dxa"/>
          </w:tcPr>
          <w:p w:rsidR="00F015A5" w:rsidRPr="00F015A5" w:rsidRDefault="00F015A5" w:rsidP="00C463D1">
            <w:pPr>
              <w:tabs>
                <w:tab w:val="left" w:pos="-720"/>
              </w:tabs>
              <w:spacing w:line="276" w:lineRule="auto"/>
              <w:rPr>
                <w:rFonts w:ascii="Times New Roman" w:hAnsi="Times New Roman"/>
              </w:rPr>
            </w:pPr>
            <w:r>
              <w:rPr>
                <w:rFonts w:ascii="Times New Roman" w:hAnsi="Times New Roman"/>
              </w:rPr>
              <w:t>Box 40600</w:t>
            </w:r>
          </w:p>
        </w:tc>
        <w:tc>
          <w:tcPr>
            <w:tcW w:w="3960" w:type="dxa"/>
          </w:tcPr>
          <w:p w:rsidR="00F015A5" w:rsidRPr="00F015A5" w:rsidRDefault="00F015A5" w:rsidP="00F015A5">
            <w:r w:rsidRPr="00F015A5">
              <w:t>Box 43173</w:t>
            </w:r>
          </w:p>
        </w:tc>
      </w:tr>
      <w:tr w:rsidR="00F015A5" w:rsidRPr="00F015A5" w:rsidTr="00150E06">
        <w:tc>
          <w:tcPr>
            <w:tcW w:w="2628" w:type="dxa"/>
          </w:tcPr>
          <w:p w:rsidR="00F015A5" w:rsidRPr="00F015A5" w:rsidRDefault="00F015A5" w:rsidP="00C463D1">
            <w:pPr>
              <w:tabs>
                <w:tab w:val="left" w:pos="-720"/>
                <w:tab w:val="left" w:pos="0"/>
                <w:tab w:val="left" w:pos="720"/>
              </w:tabs>
              <w:rPr>
                <w:rFonts w:ascii="Times New Roman" w:hAnsi="Times New Roman"/>
              </w:rPr>
            </w:pPr>
          </w:p>
        </w:tc>
        <w:tc>
          <w:tcPr>
            <w:tcW w:w="3510" w:type="dxa"/>
          </w:tcPr>
          <w:p w:rsidR="00F015A5" w:rsidRPr="00F015A5" w:rsidRDefault="00F015A5" w:rsidP="00C463D1">
            <w:pPr>
              <w:tabs>
                <w:tab w:val="left" w:pos="-720"/>
                <w:tab w:val="left" w:pos="0"/>
                <w:tab w:val="left" w:pos="720"/>
              </w:tabs>
              <w:rPr>
                <w:rFonts w:ascii="Times New Roman" w:hAnsi="Times New Roman"/>
              </w:rPr>
            </w:pPr>
            <w:r>
              <w:rPr>
                <w:rFonts w:ascii="Times New Roman" w:hAnsi="Times New Roman"/>
              </w:rPr>
              <w:t>Olympia 98504</w:t>
            </w:r>
          </w:p>
        </w:tc>
        <w:tc>
          <w:tcPr>
            <w:tcW w:w="3960" w:type="dxa"/>
          </w:tcPr>
          <w:p w:rsidR="00F015A5" w:rsidRPr="00F015A5" w:rsidRDefault="00F015A5" w:rsidP="00F015A5">
            <w:r w:rsidRPr="00F015A5">
              <w:t>Olympia 98504</w:t>
            </w:r>
          </w:p>
        </w:tc>
      </w:tr>
      <w:tr w:rsidR="00F015A5" w:rsidRPr="00F015A5" w:rsidTr="00150E06">
        <w:tc>
          <w:tcPr>
            <w:tcW w:w="2628" w:type="dxa"/>
          </w:tcPr>
          <w:p w:rsidR="00F015A5" w:rsidRPr="00F015A5" w:rsidRDefault="00F015A5" w:rsidP="00C463D1">
            <w:pPr>
              <w:tabs>
                <w:tab w:val="left" w:pos="-720"/>
                <w:tab w:val="left" w:pos="0"/>
                <w:tab w:val="left" w:pos="720"/>
              </w:tabs>
              <w:spacing w:line="276" w:lineRule="auto"/>
              <w:rPr>
                <w:rFonts w:ascii="Times New Roman" w:hAnsi="Times New Roman"/>
              </w:rPr>
            </w:pPr>
            <w:r w:rsidRPr="00F015A5">
              <w:rPr>
                <w:rFonts w:ascii="Times New Roman" w:hAnsi="Times New Roman"/>
              </w:rPr>
              <w:tab/>
            </w:r>
            <w:r w:rsidRPr="00F015A5">
              <w:rPr>
                <w:rFonts w:ascii="Times New Roman" w:hAnsi="Times New Roman"/>
                <w:b/>
              </w:rPr>
              <w:t xml:space="preserve">Office Phone:  </w:t>
            </w:r>
          </w:p>
        </w:tc>
        <w:tc>
          <w:tcPr>
            <w:tcW w:w="3510" w:type="dxa"/>
          </w:tcPr>
          <w:p w:rsidR="00F015A5" w:rsidRPr="00F015A5" w:rsidRDefault="00F015A5" w:rsidP="00F015A5">
            <w:r w:rsidRPr="00F015A5">
              <w:t>(360) 786-7894</w:t>
            </w:r>
          </w:p>
        </w:tc>
        <w:tc>
          <w:tcPr>
            <w:tcW w:w="3960" w:type="dxa"/>
          </w:tcPr>
          <w:p w:rsidR="00F015A5" w:rsidRPr="00F015A5" w:rsidRDefault="00F015A5" w:rsidP="00F015A5">
            <w:r w:rsidRPr="00F015A5">
              <w:t>360 725-3113</w:t>
            </w:r>
          </w:p>
        </w:tc>
      </w:tr>
      <w:tr w:rsidR="00F015A5" w:rsidRPr="00F015A5" w:rsidTr="00150E06">
        <w:tc>
          <w:tcPr>
            <w:tcW w:w="2628" w:type="dxa"/>
          </w:tcPr>
          <w:p w:rsidR="00F015A5" w:rsidRPr="00F015A5" w:rsidRDefault="00F015A5" w:rsidP="00C463D1">
            <w:pPr>
              <w:tabs>
                <w:tab w:val="left" w:pos="-720"/>
                <w:tab w:val="left" w:pos="0"/>
                <w:tab w:val="left" w:pos="720"/>
              </w:tabs>
              <w:spacing w:line="276" w:lineRule="auto"/>
              <w:rPr>
                <w:rFonts w:ascii="Times New Roman" w:hAnsi="Times New Roman"/>
              </w:rPr>
            </w:pPr>
            <w:r w:rsidRPr="00F015A5">
              <w:rPr>
                <w:rFonts w:ascii="Times New Roman" w:hAnsi="Times New Roman"/>
              </w:rPr>
              <w:tab/>
            </w:r>
            <w:r w:rsidRPr="00F015A5">
              <w:rPr>
                <w:rFonts w:ascii="Times New Roman" w:hAnsi="Times New Roman"/>
                <w:b/>
              </w:rPr>
              <w:t xml:space="preserve">Cell:  </w:t>
            </w:r>
          </w:p>
        </w:tc>
        <w:tc>
          <w:tcPr>
            <w:tcW w:w="3510" w:type="dxa"/>
          </w:tcPr>
          <w:p w:rsidR="00F015A5" w:rsidRPr="00F015A5" w:rsidRDefault="00F015A5" w:rsidP="00F015A5"/>
        </w:tc>
        <w:tc>
          <w:tcPr>
            <w:tcW w:w="3960" w:type="dxa"/>
          </w:tcPr>
          <w:p w:rsidR="00F015A5" w:rsidRPr="00F015A5" w:rsidRDefault="00F015A5" w:rsidP="00F015A5"/>
        </w:tc>
      </w:tr>
      <w:tr w:rsidR="00F015A5" w:rsidRPr="00F015A5" w:rsidTr="00150E06">
        <w:tc>
          <w:tcPr>
            <w:tcW w:w="2628" w:type="dxa"/>
          </w:tcPr>
          <w:p w:rsidR="00F015A5" w:rsidRPr="00F015A5" w:rsidRDefault="00F015A5" w:rsidP="00C463D1">
            <w:pPr>
              <w:tabs>
                <w:tab w:val="left" w:pos="-720"/>
                <w:tab w:val="left" w:pos="0"/>
                <w:tab w:val="left" w:pos="720"/>
              </w:tabs>
              <w:spacing w:line="276" w:lineRule="auto"/>
              <w:rPr>
                <w:rFonts w:ascii="Times New Roman" w:hAnsi="Times New Roman"/>
                <w:b/>
              </w:rPr>
            </w:pPr>
            <w:r w:rsidRPr="00F015A5">
              <w:rPr>
                <w:rFonts w:ascii="Times New Roman" w:hAnsi="Times New Roman"/>
                <w:b/>
              </w:rPr>
              <w:tab/>
              <w:t xml:space="preserve">E-Mail address:  </w:t>
            </w:r>
          </w:p>
        </w:tc>
        <w:tc>
          <w:tcPr>
            <w:tcW w:w="3510" w:type="dxa"/>
          </w:tcPr>
          <w:p w:rsidR="00F015A5" w:rsidRPr="00F015A5" w:rsidRDefault="00B60881" w:rsidP="00F015A5">
            <w:hyperlink r:id="rId9" w:history="1">
              <w:r w:rsidR="00F015A5" w:rsidRPr="00F015A5">
                <w:rPr>
                  <w:rStyle w:val="Hyperlink"/>
                </w:rPr>
                <w:t>Tana.senn@leg.wa.gov</w:t>
              </w:r>
            </w:hyperlink>
          </w:p>
        </w:tc>
        <w:tc>
          <w:tcPr>
            <w:tcW w:w="3960" w:type="dxa"/>
          </w:tcPr>
          <w:p w:rsidR="00F015A5" w:rsidRPr="00F015A5" w:rsidRDefault="00B60881" w:rsidP="00F015A5">
            <w:hyperlink r:id="rId10" w:history="1">
              <w:r w:rsidR="00F015A5" w:rsidRPr="002A7382">
                <w:rPr>
                  <w:rStyle w:val="Hyperlink"/>
                </w:rPr>
                <w:t>chuck.murray@commerce.wa.gov</w:t>
              </w:r>
            </w:hyperlink>
          </w:p>
        </w:tc>
      </w:tr>
    </w:tbl>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11"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A4682A" w:rsidRPr="00550A08">
        <w:rPr>
          <w:rFonts w:asciiTheme="minorHAnsi" w:hAnsiTheme="minorHAnsi"/>
          <w:color w:val="1F497D" w:themeColor="text2"/>
          <w:u w:val="single"/>
        </w:rPr>
        <w:t>IBC, as amended by Washington State</w:t>
      </w:r>
      <w:r w:rsidR="00A4682A" w:rsidRPr="00550A08">
        <w:rPr>
          <w:b/>
          <w:bCs/>
          <w:color w:val="1F497D" w:themeColor="text2"/>
          <w:sz w:val="20"/>
        </w:rPr>
        <w:t xml:space="preserve"> </w:t>
      </w:r>
      <w:r w:rsidR="00A4682A">
        <w:rPr>
          <w:b/>
          <w:bCs/>
          <w:sz w:val="20"/>
        </w:rPr>
        <w:tab/>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A4682A" w:rsidRPr="00550A08">
        <w:rPr>
          <w:rFonts w:asciiTheme="minorHAnsi" w:hAnsiTheme="minorHAnsi"/>
          <w:b/>
          <w:bCs/>
          <w:color w:val="1F497D" w:themeColor="text2"/>
          <w:sz w:val="20"/>
          <w:u w:val="single"/>
        </w:rPr>
        <w:t>WAC 51-50-009</w:t>
      </w:r>
      <w:r w:rsidR="009B169E" w:rsidRPr="00550A08">
        <w:rPr>
          <w:rFonts w:ascii="Times New Roman" w:hAnsi="Times New Roman"/>
          <w:color w:val="1F497D" w:themeColor="text2"/>
        </w:rPr>
        <w:t xml:space="preserve">     </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2"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A4682A" w:rsidRDefault="00A4682A" w:rsidP="00A4682A">
      <w:pPr>
        <w:pStyle w:val="Default"/>
        <w:rPr>
          <w:b/>
          <w:bCs/>
          <w:sz w:val="20"/>
          <w:szCs w:val="20"/>
        </w:rPr>
      </w:pPr>
    </w:p>
    <w:p w:rsidR="00A4682A" w:rsidRDefault="00A4682A" w:rsidP="00A4682A">
      <w:pPr>
        <w:pStyle w:val="Default"/>
        <w:ind w:left="1440"/>
        <w:rPr>
          <w:sz w:val="20"/>
          <w:szCs w:val="20"/>
        </w:rPr>
      </w:pPr>
      <w:r>
        <w:rPr>
          <w:b/>
          <w:bCs/>
          <w:sz w:val="20"/>
          <w:szCs w:val="20"/>
        </w:rPr>
        <w:t>WAC 51-50-009 RECYCLABLE MATERIALS</w:t>
      </w:r>
      <w:r w:rsidRPr="00C606DA">
        <w:rPr>
          <w:b/>
          <w:bCs/>
          <w:sz w:val="20"/>
          <w:szCs w:val="20"/>
          <w:u w:val="single"/>
        </w:rPr>
        <w:t>, COMPOST</w:t>
      </w:r>
      <w:r>
        <w:rPr>
          <w:b/>
          <w:bCs/>
          <w:sz w:val="20"/>
          <w:szCs w:val="20"/>
        </w:rPr>
        <w:t xml:space="preserve"> AND SOLID WASTE STORAGE </w:t>
      </w:r>
    </w:p>
    <w:p w:rsidR="00A4682A" w:rsidRDefault="00A4682A" w:rsidP="00A4682A">
      <w:pPr>
        <w:pStyle w:val="Default"/>
        <w:ind w:left="1440"/>
        <w:rPr>
          <w:rFonts w:ascii="Times New Roman" w:hAnsi="Times New Roman" w:cs="Times New Roman"/>
          <w:sz w:val="20"/>
          <w:szCs w:val="20"/>
        </w:rPr>
      </w:pPr>
    </w:p>
    <w:p w:rsidR="00A4682A" w:rsidRDefault="00A4682A" w:rsidP="00A4682A">
      <w:pPr>
        <w:pStyle w:val="Default"/>
        <w:ind w:left="1440"/>
        <w:rPr>
          <w:rFonts w:ascii="Times New Roman" w:hAnsi="Times New Roman" w:cs="Times New Roman"/>
          <w:sz w:val="20"/>
          <w:szCs w:val="20"/>
        </w:rPr>
      </w:pPr>
      <w:r>
        <w:rPr>
          <w:rFonts w:ascii="Times New Roman" w:hAnsi="Times New Roman" w:cs="Times New Roman"/>
          <w:sz w:val="20"/>
          <w:szCs w:val="20"/>
        </w:rPr>
        <w:t xml:space="preserve">For the purposes of this section, the following definition shall apply: </w:t>
      </w:r>
    </w:p>
    <w:p w:rsidR="00A4682A" w:rsidRDefault="00A4682A" w:rsidP="00A4682A">
      <w:pPr>
        <w:pStyle w:val="Default"/>
        <w:ind w:left="1440"/>
        <w:rPr>
          <w:b/>
          <w:bCs/>
          <w:sz w:val="20"/>
          <w:szCs w:val="20"/>
        </w:rPr>
      </w:pPr>
    </w:p>
    <w:p w:rsidR="00A4682A" w:rsidRDefault="00A4682A" w:rsidP="00A4682A">
      <w:pPr>
        <w:pStyle w:val="Default"/>
        <w:ind w:left="1440"/>
        <w:rPr>
          <w:rFonts w:ascii="Times New Roman" w:hAnsi="Times New Roman" w:cs="Times New Roman"/>
          <w:sz w:val="20"/>
          <w:szCs w:val="20"/>
        </w:rPr>
      </w:pPr>
      <w:r>
        <w:rPr>
          <w:b/>
          <w:bCs/>
          <w:sz w:val="20"/>
          <w:szCs w:val="20"/>
        </w:rPr>
        <w:t xml:space="preserve">RECYCLED MATERIALS </w:t>
      </w:r>
      <w:r>
        <w:rPr>
          <w:rFonts w:ascii="Times New Roman" w:hAnsi="Times New Roman" w:cs="Times New Roman"/>
          <w:sz w:val="20"/>
          <w:szCs w:val="20"/>
        </w:rPr>
        <w:t>means those solid wastes that are separated for recycling or reuse, such as papers, metals and glass.</w:t>
      </w:r>
    </w:p>
    <w:p w:rsidR="00A4682A" w:rsidRDefault="00A4682A" w:rsidP="00A4682A">
      <w:pPr>
        <w:pStyle w:val="Default"/>
        <w:ind w:left="1440"/>
        <w:rPr>
          <w:rFonts w:ascii="Times New Roman" w:hAnsi="Times New Roman" w:cs="Times New Roman"/>
          <w:sz w:val="20"/>
          <w:szCs w:val="20"/>
        </w:rPr>
      </w:pPr>
    </w:p>
    <w:p w:rsidR="00A4682A" w:rsidRPr="00627FF1" w:rsidRDefault="00A4682A" w:rsidP="00A4682A">
      <w:pPr>
        <w:pStyle w:val="Default"/>
        <w:ind w:left="1440"/>
        <w:rPr>
          <w:rFonts w:ascii="Times New Roman" w:hAnsi="Times New Roman" w:cs="Times New Roman"/>
          <w:sz w:val="20"/>
          <w:szCs w:val="20"/>
          <w:u w:val="single"/>
        </w:rPr>
      </w:pPr>
      <w:r w:rsidRPr="00627FF1">
        <w:rPr>
          <w:b/>
          <w:bCs/>
          <w:sz w:val="20"/>
          <w:szCs w:val="20"/>
          <w:u w:val="single"/>
        </w:rPr>
        <w:t xml:space="preserve">COMPOST </w:t>
      </w:r>
      <w:r w:rsidRPr="00627FF1">
        <w:rPr>
          <w:rFonts w:ascii="Times New Roman" w:hAnsi="Times New Roman" w:cs="Times New Roman"/>
          <w:sz w:val="20"/>
          <w:szCs w:val="20"/>
          <w:u w:val="single"/>
        </w:rPr>
        <w:t>means biodegradable solid waste</w:t>
      </w:r>
      <w:r>
        <w:rPr>
          <w:rFonts w:ascii="Times New Roman" w:hAnsi="Times New Roman" w:cs="Times New Roman"/>
          <w:sz w:val="20"/>
          <w:szCs w:val="20"/>
          <w:u w:val="single"/>
        </w:rPr>
        <w:t>s</w:t>
      </w:r>
      <w:r w:rsidRPr="00627FF1">
        <w:rPr>
          <w:rFonts w:ascii="Times New Roman" w:hAnsi="Times New Roman" w:cs="Times New Roman"/>
          <w:sz w:val="20"/>
          <w:szCs w:val="20"/>
          <w:u w:val="single"/>
        </w:rPr>
        <w:t xml:space="preserve"> that are separated for composting such as food waste, food soiled paper and yard waste.</w:t>
      </w:r>
    </w:p>
    <w:p w:rsidR="00A4682A" w:rsidRDefault="00A4682A" w:rsidP="00A4682A">
      <w:pPr>
        <w:pStyle w:val="Default"/>
        <w:ind w:left="1440"/>
        <w:rPr>
          <w:rFonts w:ascii="Times New Roman" w:hAnsi="Times New Roman" w:cs="Times New Roman"/>
          <w:sz w:val="20"/>
          <w:szCs w:val="20"/>
        </w:rPr>
      </w:pPr>
    </w:p>
    <w:p w:rsidR="00A4682A" w:rsidRDefault="00A4682A" w:rsidP="00A4682A">
      <w:pPr>
        <w:pStyle w:val="Default"/>
        <w:ind w:left="1440"/>
        <w:rPr>
          <w:rFonts w:ascii="Times New Roman" w:hAnsi="Times New Roman" w:cs="Times New Roman"/>
          <w:sz w:val="20"/>
          <w:szCs w:val="20"/>
        </w:rPr>
      </w:pPr>
      <w:r>
        <w:rPr>
          <w:rFonts w:ascii="Times New Roman" w:hAnsi="Times New Roman" w:cs="Times New Roman"/>
          <w:sz w:val="20"/>
          <w:szCs w:val="20"/>
        </w:rPr>
        <w:t>All local jurisdictions shall require that space be provided for the storage of recycled materials</w:t>
      </w:r>
      <w:r>
        <w:rPr>
          <w:rFonts w:ascii="Times New Roman" w:hAnsi="Times New Roman" w:cs="Times New Roman"/>
          <w:sz w:val="20"/>
          <w:szCs w:val="20"/>
          <w:u w:val="single"/>
        </w:rPr>
        <w:t>, compost</w:t>
      </w:r>
      <w:r>
        <w:rPr>
          <w:rFonts w:ascii="Times New Roman" w:hAnsi="Times New Roman" w:cs="Times New Roman"/>
          <w:sz w:val="20"/>
          <w:szCs w:val="20"/>
        </w:rPr>
        <w:t xml:space="preserve"> and solid waste for all new buildings </w:t>
      </w:r>
    </w:p>
    <w:p w:rsidR="00A4682A" w:rsidRDefault="00A4682A" w:rsidP="00A4682A">
      <w:pPr>
        <w:pStyle w:val="Default"/>
        <w:ind w:left="2160"/>
        <w:rPr>
          <w:rFonts w:ascii="Times New Roman" w:hAnsi="Times New Roman" w:cs="Times New Roman"/>
          <w:sz w:val="20"/>
          <w:szCs w:val="20"/>
        </w:rPr>
      </w:pPr>
      <w:r>
        <w:rPr>
          <w:rFonts w:ascii="Times New Roman" w:hAnsi="Times New Roman" w:cs="Times New Roman"/>
          <w:b/>
          <w:bCs/>
          <w:sz w:val="20"/>
          <w:szCs w:val="20"/>
        </w:rPr>
        <w:t xml:space="preserve">Exceptions: </w:t>
      </w:r>
      <w:r>
        <w:rPr>
          <w:rFonts w:ascii="Times New Roman" w:hAnsi="Times New Roman" w:cs="Times New Roman"/>
          <w:sz w:val="20"/>
          <w:szCs w:val="20"/>
        </w:rPr>
        <w:t xml:space="preserve">Group R-3 and Group U occupancies. </w:t>
      </w:r>
    </w:p>
    <w:p w:rsidR="00A4682A" w:rsidRDefault="00A4682A" w:rsidP="00A4682A">
      <w:pPr>
        <w:ind w:left="1440"/>
        <w:rPr>
          <w:rFonts w:ascii="Times New Roman" w:hAnsi="Times New Roman"/>
          <w:sz w:val="20"/>
        </w:rPr>
      </w:pPr>
    </w:p>
    <w:p w:rsidR="00A4682A" w:rsidRDefault="00A4682A" w:rsidP="00A4682A">
      <w:pPr>
        <w:ind w:left="1440"/>
      </w:pPr>
      <w:r>
        <w:rPr>
          <w:rFonts w:ascii="Times New Roman" w:hAnsi="Times New Roman"/>
          <w:sz w:val="20"/>
        </w:rPr>
        <w:t>The storage area shall be designed to meet the needs of the occupancy, efficiency of pickup, and shall be available to occupants and haulers.</w:t>
      </w:r>
    </w:p>
    <w:p w:rsidR="0072394F" w:rsidRDefault="0072394F" w:rsidP="00BB1D76">
      <w:pPr>
        <w:tabs>
          <w:tab w:val="left" w:pos="-720"/>
          <w:tab w:val="left" w:pos="0"/>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A4682A" w:rsidRDefault="00A4682A" w:rsidP="00A4682A">
      <w:pPr>
        <w:tabs>
          <w:tab w:val="left" w:pos="-720"/>
          <w:tab w:val="left" w:pos="0"/>
          <w:tab w:val="left" w:pos="720"/>
        </w:tabs>
        <w:rPr>
          <w:rFonts w:ascii="Times New Roman" w:hAnsi="Times New Roman"/>
          <w:szCs w:val="24"/>
        </w:rPr>
      </w:pPr>
    </w:p>
    <w:p w:rsidR="007F3DE0" w:rsidRPr="00550A08" w:rsidRDefault="00A4682A" w:rsidP="007F3DE0">
      <w:pPr>
        <w:tabs>
          <w:tab w:val="left" w:pos="-720"/>
          <w:tab w:val="left" w:pos="0"/>
          <w:tab w:val="left" w:pos="720"/>
        </w:tabs>
        <w:ind w:left="720"/>
        <w:rPr>
          <w:rFonts w:asciiTheme="minorHAnsi" w:hAnsiTheme="minorHAnsi"/>
          <w:color w:val="1F497D" w:themeColor="text2"/>
          <w:sz w:val="22"/>
          <w:szCs w:val="22"/>
        </w:rPr>
      </w:pPr>
      <w:r w:rsidRPr="00550A08">
        <w:rPr>
          <w:rFonts w:asciiTheme="minorHAnsi" w:hAnsiTheme="minorHAnsi"/>
          <w:color w:val="1F497D" w:themeColor="text2"/>
          <w:sz w:val="22"/>
          <w:szCs w:val="22"/>
        </w:rPr>
        <w:t xml:space="preserve">The proposed code change requires compost bins </w:t>
      </w:r>
      <w:r w:rsidR="007F3DE0" w:rsidRPr="00550A08">
        <w:rPr>
          <w:rFonts w:asciiTheme="minorHAnsi" w:hAnsiTheme="minorHAnsi"/>
          <w:color w:val="1F497D" w:themeColor="text2"/>
          <w:sz w:val="22"/>
          <w:szCs w:val="22"/>
        </w:rPr>
        <w:t xml:space="preserve">be included in the design requirements of solid waste disposal storage areas. </w:t>
      </w:r>
    </w:p>
    <w:p w:rsidR="007F3DE0" w:rsidRPr="00550A08" w:rsidRDefault="007F3DE0" w:rsidP="007F3DE0">
      <w:pPr>
        <w:tabs>
          <w:tab w:val="left" w:pos="-720"/>
          <w:tab w:val="left" w:pos="0"/>
          <w:tab w:val="left" w:pos="720"/>
        </w:tabs>
        <w:ind w:left="720"/>
        <w:rPr>
          <w:rFonts w:asciiTheme="minorHAnsi" w:hAnsiTheme="minorHAnsi"/>
          <w:color w:val="1F497D" w:themeColor="text2"/>
          <w:sz w:val="22"/>
          <w:szCs w:val="22"/>
        </w:rPr>
      </w:pPr>
    </w:p>
    <w:p w:rsidR="009665E0" w:rsidRPr="00550A08" w:rsidRDefault="007F3DE0" w:rsidP="007F3DE0">
      <w:pPr>
        <w:tabs>
          <w:tab w:val="left" w:pos="-720"/>
          <w:tab w:val="left" w:pos="0"/>
          <w:tab w:val="left" w:pos="720"/>
        </w:tabs>
        <w:ind w:left="720"/>
        <w:rPr>
          <w:rFonts w:asciiTheme="minorHAnsi" w:hAnsiTheme="minorHAnsi"/>
          <w:color w:val="1F497D" w:themeColor="text2"/>
          <w:sz w:val="22"/>
          <w:szCs w:val="22"/>
        </w:rPr>
      </w:pPr>
      <w:r w:rsidRPr="00550A08">
        <w:rPr>
          <w:rFonts w:asciiTheme="minorHAnsi" w:hAnsiTheme="minorHAnsi"/>
          <w:color w:val="1F497D" w:themeColor="text2"/>
          <w:sz w:val="22"/>
          <w:szCs w:val="22"/>
        </w:rPr>
        <w:t xml:space="preserve">Increasingly, municipalities, county waste systems and commercial haulers are requiring that consumers separate compost from other solid waste streams. This code change assures designs accommodate the </w:t>
      </w:r>
      <w:r w:rsidR="00CE7114" w:rsidRPr="00550A08">
        <w:rPr>
          <w:rFonts w:asciiTheme="minorHAnsi" w:hAnsiTheme="minorHAnsi"/>
          <w:color w:val="1F497D" w:themeColor="text2"/>
          <w:sz w:val="22"/>
          <w:szCs w:val="22"/>
        </w:rPr>
        <w:t xml:space="preserve">needed or required </w:t>
      </w:r>
      <w:r w:rsidRPr="00550A08">
        <w:rPr>
          <w:rFonts w:asciiTheme="minorHAnsi" w:hAnsiTheme="minorHAnsi"/>
          <w:color w:val="1F497D" w:themeColor="text2"/>
          <w:sz w:val="22"/>
          <w:szCs w:val="22"/>
        </w:rPr>
        <w:t xml:space="preserve">containers. </w:t>
      </w:r>
    </w:p>
    <w:p w:rsidR="009665E0" w:rsidRPr="00550A08" w:rsidRDefault="009665E0" w:rsidP="009665E0">
      <w:pPr>
        <w:ind w:left="720"/>
        <w:rPr>
          <w:rFonts w:asciiTheme="minorHAnsi" w:hAnsiTheme="minorHAnsi"/>
          <w:color w:val="1F497D" w:themeColor="text2"/>
          <w:sz w:val="22"/>
          <w:szCs w:val="22"/>
        </w:rPr>
      </w:pPr>
    </w:p>
    <w:p w:rsidR="00B75D4C" w:rsidRPr="00550A08" w:rsidRDefault="009665E0" w:rsidP="009665E0">
      <w:pPr>
        <w:ind w:left="720"/>
        <w:rPr>
          <w:rFonts w:asciiTheme="minorHAnsi" w:hAnsiTheme="minorHAnsi"/>
          <w:color w:val="1F497D" w:themeColor="text2"/>
          <w:sz w:val="22"/>
          <w:szCs w:val="22"/>
          <w:lang w:val="en"/>
        </w:rPr>
      </w:pPr>
      <w:r w:rsidRPr="00550A08">
        <w:rPr>
          <w:rFonts w:asciiTheme="minorHAnsi" w:hAnsiTheme="minorHAnsi"/>
          <w:color w:val="1F497D" w:themeColor="text2"/>
          <w:sz w:val="22"/>
          <w:szCs w:val="22"/>
        </w:rPr>
        <w:t xml:space="preserve">Providing composting reduces the loads imposed on solid waste landfills and wastewater treatment facilities. The management of biodegradable materials in the general waste stream requires compost management procedures be applied, somewhat ineffectively, to the large, volumes of general waste. </w:t>
      </w:r>
      <w:r w:rsidRPr="00550A08">
        <w:rPr>
          <w:rFonts w:asciiTheme="minorHAnsi" w:hAnsiTheme="minorHAnsi"/>
          <w:color w:val="1F497D" w:themeColor="text2"/>
          <w:sz w:val="22"/>
          <w:szCs w:val="22"/>
          <w:lang w:val="en"/>
        </w:rPr>
        <w:t xml:space="preserve">Composting organic materials that have been diverted from general landfills ultimately avoids the production of methane and leachate formulation in the landfills. It also reduces solid waste management requirements at our wastewater facilities.  </w:t>
      </w:r>
    </w:p>
    <w:p w:rsidR="009665E0" w:rsidRPr="009665E0" w:rsidRDefault="009665E0" w:rsidP="009665E0">
      <w:pPr>
        <w:ind w:left="720"/>
        <w:rPr>
          <w:rFonts w:asciiTheme="minorHAnsi" w:hAnsiTheme="minorHAnsi"/>
          <w:color w:val="000000"/>
          <w:sz w:val="22"/>
          <w:szCs w:val="22"/>
          <w:lang w:val="en"/>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Pr="0087578E">
        <w:rPr>
          <w:rFonts w:ascii="Times New Roman" w:hAnsi="Times New Roman"/>
          <w:sz w:val="24"/>
          <w:szCs w:val="24"/>
        </w:rPr>
        <w:instrText xml:space="preserve"> FORMCHECKBOX </w:instrText>
      </w:r>
      <w:r w:rsidR="00B60881">
        <w:rPr>
          <w:rFonts w:ascii="Times New Roman" w:hAnsi="Times New Roman"/>
          <w:sz w:val="24"/>
          <w:szCs w:val="24"/>
        </w:rPr>
      </w:r>
      <w:r w:rsidR="00B60881">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Pr="0087578E">
        <w:rPr>
          <w:rFonts w:ascii="Times New Roman" w:hAnsi="Times New Roman"/>
          <w:sz w:val="24"/>
          <w:szCs w:val="24"/>
        </w:rPr>
        <w:t xml:space="preserve"> The amendment is needed to address a critical life/safety need.</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B60881">
        <w:rPr>
          <w:rFonts w:ascii="Times New Roman" w:hAnsi="Times New Roman"/>
          <w:sz w:val="24"/>
          <w:szCs w:val="24"/>
        </w:rPr>
      </w:r>
      <w:r w:rsidR="00B60881">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B60881">
        <w:rPr>
          <w:rFonts w:ascii="Times New Roman" w:hAnsi="Times New Roman"/>
          <w:sz w:val="24"/>
          <w:szCs w:val="24"/>
        </w:rPr>
      </w:r>
      <w:r w:rsidR="00B60881">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7F3DE0" w:rsidP="00B75D4C">
      <w:pPr>
        <w:pStyle w:val="PlainText"/>
        <w:ind w:left="1080"/>
        <w:rPr>
          <w:rFonts w:ascii="Times New Roman" w:hAnsi="Times New Roman"/>
          <w:sz w:val="24"/>
          <w:szCs w:val="24"/>
        </w:rPr>
      </w:pPr>
      <w:r>
        <w:rPr>
          <w:rFonts w:ascii="Times New Roman" w:hAnsi="Times New Roman"/>
          <w:sz w:val="24"/>
          <w:szCs w:val="24"/>
        </w:rPr>
        <w:t xml:space="preserve">X </w:t>
      </w:r>
      <w:r w:rsidR="00B75D4C" w:rsidRPr="0087578E">
        <w:rPr>
          <w:rFonts w:ascii="Times New Roman" w:hAnsi="Times New Roman"/>
          <w:sz w:val="24"/>
          <w:szCs w:val="24"/>
        </w:rPr>
        <w:t xml:space="preserve"> The amendment is needed to address a unique character of the state.</w:t>
      </w:r>
    </w:p>
    <w:p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B60881">
        <w:rPr>
          <w:rFonts w:ascii="Times New Roman" w:hAnsi="Times New Roman"/>
          <w:szCs w:val="24"/>
        </w:rPr>
      </w:r>
      <w:r w:rsidR="00B60881">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lastRenderedPageBreak/>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B60881">
        <w:rPr>
          <w:rFonts w:ascii="Times New Roman" w:hAnsi="Times New Roman"/>
          <w:szCs w:val="24"/>
        </w:rPr>
      </w:r>
      <w:r w:rsidR="00B60881">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7F3DE0">
        <w:rPr>
          <w:rFonts w:ascii="Times New Roman" w:hAnsi="Times New Roman"/>
          <w:szCs w:val="24"/>
        </w:rPr>
        <w:t xml:space="preserve">X </w:t>
      </w:r>
      <w:r w:rsidR="00771BC9">
        <w:rPr>
          <w:rFonts w:ascii="Times New Roman" w:hAnsi="Times New Roman"/>
          <w:szCs w:val="24"/>
        </w:rPr>
        <w:t>No</w:t>
      </w:r>
    </w:p>
    <w:p w:rsidR="007F3DE0" w:rsidRDefault="00873296" w:rsidP="00E16D5E">
      <w:pPr>
        <w:ind w:left="720"/>
        <w:rPr>
          <w:rFonts w:ascii="Times New Roman" w:hAnsi="Times New Roman"/>
          <w:szCs w:val="24"/>
        </w:rPr>
      </w:pPr>
      <w:r w:rsidRPr="0087578E">
        <w:rPr>
          <w:rFonts w:ascii="Times New Roman" w:hAnsi="Times New Roman"/>
          <w:szCs w:val="24"/>
        </w:rPr>
        <w:t xml:space="preserve">Explain: </w:t>
      </w:r>
      <w:r w:rsidR="007F3DE0">
        <w:rPr>
          <w:rFonts w:ascii="Times New Roman" w:hAnsi="Times New Roman"/>
          <w:szCs w:val="24"/>
        </w:rPr>
        <w:t xml:space="preserve"> </w:t>
      </w:r>
    </w:p>
    <w:p w:rsidR="007F3DE0" w:rsidRDefault="007F3DE0" w:rsidP="00E16D5E">
      <w:pPr>
        <w:ind w:left="720"/>
        <w:rPr>
          <w:rFonts w:ascii="Times New Roman" w:hAnsi="Times New Roman"/>
          <w:szCs w:val="24"/>
        </w:rPr>
      </w:pPr>
    </w:p>
    <w:p w:rsidR="00C312A4" w:rsidRPr="00550A08" w:rsidRDefault="00C312A4" w:rsidP="002029E1">
      <w:pPr>
        <w:ind w:left="720"/>
        <w:rPr>
          <w:rFonts w:asciiTheme="minorHAnsi" w:hAnsiTheme="minorHAnsi"/>
          <w:color w:val="1F497D" w:themeColor="text2"/>
          <w:sz w:val="22"/>
          <w:szCs w:val="22"/>
        </w:rPr>
      </w:pPr>
      <w:r w:rsidRPr="00550A08">
        <w:rPr>
          <w:rFonts w:asciiTheme="minorHAnsi" w:hAnsiTheme="minorHAnsi"/>
          <w:color w:val="1F497D" w:themeColor="text2"/>
          <w:sz w:val="22"/>
          <w:szCs w:val="22"/>
        </w:rPr>
        <w:t xml:space="preserve">Cost: </w:t>
      </w:r>
      <w:r w:rsidR="007F3DE0" w:rsidRPr="00550A08">
        <w:rPr>
          <w:rFonts w:asciiTheme="minorHAnsi" w:hAnsiTheme="minorHAnsi"/>
          <w:color w:val="1F497D" w:themeColor="text2"/>
          <w:sz w:val="22"/>
          <w:szCs w:val="22"/>
        </w:rPr>
        <w:t>The code change does not require additional storage volume. It simply requires a change in the distribution of the waste into separate containers. This changes the design criteria, but not the effort in design or the cost of construction.  Cost of enforcement would not change.</w:t>
      </w:r>
    </w:p>
    <w:p w:rsidR="009665E0" w:rsidRPr="00550A08" w:rsidRDefault="009665E0" w:rsidP="002029E1">
      <w:pPr>
        <w:ind w:left="720"/>
        <w:rPr>
          <w:rFonts w:asciiTheme="minorHAnsi" w:hAnsiTheme="minorHAnsi"/>
          <w:color w:val="1F497D" w:themeColor="text2"/>
          <w:sz w:val="22"/>
          <w:szCs w:val="22"/>
        </w:rPr>
      </w:pPr>
    </w:p>
    <w:p w:rsidR="002029E1" w:rsidRPr="00550A08" w:rsidRDefault="00445C77" w:rsidP="002029E1">
      <w:pPr>
        <w:ind w:left="720"/>
        <w:rPr>
          <w:rFonts w:asciiTheme="minorHAnsi" w:hAnsiTheme="minorHAnsi"/>
          <w:color w:val="1F497D" w:themeColor="text2"/>
          <w:sz w:val="22"/>
          <w:szCs w:val="22"/>
          <w:lang w:val="en"/>
        </w:rPr>
      </w:pPr>
      <w:r w:rsidRPr="00550A08">
        <w:rPr>
          <w:rFonts w:asciiTheme="minorHAnsi" w:hAnsiTheme="minorHAnsi"/>
          <w:color w:val="1F497D" w:themeColor="text2"/>
          <w:sz w:val="22"/>
          <w:szCs w:val="22"/>
        </w:rPr>
        <w:t xml:space="preserve">Benefits: </w:t>
      </w:r>
      <w:r w:rsidR="00C312A4" w:rsidRPr="00550A08">
        <w:rPr>
          <w:rFonts w:asciiTheme="minorHAnsi" w:hAnsiTheme="minorHAnsi"/>
          <w:color w:val="1F497D" w:themeColor="text2"/>
          <w:sz w:val="22"/>
          <w:szCs w:val="22"/>
        </w:rPr>
        <w:t xml:space="preserve">We have not monetized the benefits. </w:t>
      </w:r>
    </w:p>
    <w:p w:rsidR="002029E1" w:rsidRPr="00550A08" w:rsidRDefault="002029E1" w:rsidP="00445C77">
      <w:pPr>
        <w:ind w:left="1440"/>
        <w:rPr>
          <w:rFonts w:asciiTheme="minorHAnsi" w:hAnsiTheme="minorHAnsi"/>
          <w:color w:val="1F497D" w:themeColor="text2"/>
          <w:sz w:val="22"/>
          <w:szCs w:val="22"/>
          <w:lang w:val="en"/>
        </w:rPr>
      </w:pPr>
    </w:p>
    <w:p w:rsidR="00873296" w:rsidRPr="00550A08" w:rsidRDefault="00873296" w:rsidP="00445C77">
      <w:pPr>
        <w:ind w:left="1440"/>
        <w:rPr>
          <w:rFonts w:asciiTheme="minorHAnsi" w:hAnsiTheme="minorHAnsi"/>
          <w:color w:val="1F497D" w:themeColor="text2"/>
          <w:sz w:val="22"/>
          <w:szCs w:val="22"/>
        </w:rPr>
      </w:pPr>
    </w:p>
    <w:p w:rsidR="00BE1E8B" w:rsidRPr="00550A08" w:rsidRDefault="00771BC9" w:rsidP="00550A08">
      <w:r w:rsidRPr="00550A08">
        <w:t xml:space="preserve">If there is an economic impact, use </w:t>
      </w:r>
      <w:r w:rsidR="003F42A2" w:rsidRPr="00550A08">
        <w:t xml:space="preserve">the Table </w:t>
      </w:r>
      <w:r w:rsidR="00873296" w:rsidRPr="00550A08">
        <w:t xml:space="preserve">below </w:t>
      </w:r>
      <w:r w:rsidR="002F6438" w:rsidRPr="00550A08">
        <w:t>to estimate the costs and s</w:t>
      </w:r>
      <w:r w:rsidR="003473BF" w:rsidRPr="00550A08">
        <w:t>avings</w:t>
      </w:r>
      <w:r w:rsidR="002F6438" w:rsidRPr="00550A08">
        <w:t xml:space="preserve"> of the proposal on </w:t>
      </w:r>
      <w:r w:rsidR="00007839" w:rsidRPr="00550A08">
        <w:t>construction practices</w:t>
      </w:r>
      <w:r w:rsidR="002F6438" w:rsidRPr="00550A08">
        <w:t>,</w:t>
      </w:r>
      <w:r w:rsidR="00007839" w:rsidRPr="00550A08">
        <w:t xml:space="preserve"> users and/or the public, </w:t>
      </w:r>
      <w:r w:rsidR="002F6438" w:rsidRPr="00550A08">
        <w:t xml:space="preserve">the enforcement community, and </w:t>
      </w:r>
      <w:r w:rsidR="00DF7283" w:rsidRPr="00550A08">
        <w:t>operation and maintenance</w:t>
      </w:r>
      <w:r w:rsidR="007100B9" w:rsidRPr="00550A08">
        <w:t>.</w:t>
      </w:r>
      <w:r w:rsidR="00873296" w:rsidRPr="00550A08">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3"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4"/>
      <w:headerReference w:type="first" r:id="rId15"/>
      <w:footerReference w:type="first" r:id="rId16"/>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F9" w:rsidRDefault="00031FF9" w:rsidP="00110F55">
      <w:r>
        <w:separator/>
      </w:r>
    </w:p>
  </w:endnote>
  <w:endnote w:type="continuationSeparator" w:id="0">
    <w:p w:rsidR="00031FF9" w:rsidRDefault="00031FF9"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B60881">
      <w:rPr>
        <w:noProof/>
        <w:sz w:val="18"/>
        <w:szCs w:val="18"/>
      </w:rPr>
      <w:t>March 3,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B60881">
      <w:rPr>
        <w:noProof/>
        <w:sz w:val="18"/>
        <w:szCs w:val="18"/>
      </w:rPr>
      <w:t>March 3,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F9" w:rsidRDefault="00031FF9" w:rsidP="00110F55">
      <w:r>
        <w:separator/>
      </w:r>
    </w:p>
  </w:footnote>
  <w:footnote w:type="continuationSeparator" w:id="0">
    <w:p w:rsidR="00031FF9" w:rsidRDefault="00031FF9"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1FF9"/>
    <w:rsid w:val="00033870"/>
    <w:rsid w:val="00075F76"/>
    <w:rsid w:val="00082B95"/>
    <w:rsid w:val="000835B8"/>
    <w:rsid w:val="000C25C1"/>
    <w:rsid w:val="000F53B4"/>
    <w:rsid w:val="000F721F"/>
    <w:rsid w:val="00110F55"/>
    <w:rsid w:val="00133212"/>
    <w:rsid w:val="00150E06"/>
    <w:rsid w:val="0016341B"/>
    <w:rsid w:val="00180891"/>
    <w:rsid w:val="001C0D81"/>
    <w:rsid w:val="001D4EC7"/>
    <w:rsid w:val="001E456B"/>
    <w:rsid w:val="002020FC"/>
    <w:rsid w:val="002029E1"/>
    <w:rsid w:val="0020492D"/>
    <w:rsid w:val="00211AD1"/>
    <w:rsid w:val="00227B70"/>
    <w:rsid w:val="002365DA"/>
    <w:rsid w:val="00243532"/>
    <w:rsid w:val="002545F1"/>
    <w:rsid w:val="00256274"/>
    <w:rsid w:val="00263791"/>
    <w:rsid w:val="0029621B"/>
    <w:rsid w:val="002A15CB"/>
    <w:rsid w:val="002B5365"/>
    <w:rsid w:val="002E7439"/>
    <w:rsid w:val="002F26F5"/>
    <w:rsid w:val="002F6438"/>
    <w:rsid w:val="00300162"/>
    <w:rsid w:val="00313FF3"/>
    <w:rsid w:val="00320225"/>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45C77"/>
    <w:rsid w:val="004A172E"/>
    <w:rsid w:val="004A786B"/>
    <w:rsid w:val="004B0207"/>
    <w:rsid w:val="004B5701"/>
    <w:rsid w:val="004C5BFC"/>
    <w:rsid w:val="004D417F"/>
    <w:rsid w:val="004E087B"/>
    <w:rsid w:val="00502C30"/>
    <w:rsid w:val="00514761"/>
    <w:rsid w:val="00523321"/>
    <w:rsid w:val="005400B0"/>
    <w:rsid w:val="005471E3"/>
    <w:rsid w:val="00550A08"/>
    <w:rsid w:val="00552BDC"/>
    <w:rsid w:val="00586A99"/>
    <w:rsid w:val="00603175"/>
    <w:rsid w:val="006130EC"/>
    <w:rsid w:val="006223A8"/>
    <w:rsid w:val="00627A01"/>
    <w:rsid w:val="006309FD"/>
    <w:rsid w:val="0063479B"/>
    <w:rsid w:val="006607C5"/>
    <w:rsid w:val="00684BD7"/>
    <w:rsid w:val="00690B56"/>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839BB"/>
    <w:rsid w:val="00790A22"/>
    <w:rsid w:val="007A5DC3"/>
    <w:rsid w:val="007C1CE4"/>
    <w:rsid w:val="007C7179"/>
    <w:rsid w:val="007D72F3"/>
    <w:rsid w:val="007F3DE0"/>
    <w:rsid w:val="007F5B2F"/>
    <w:rsid w:val="007F67BF"/>
    <w:rsid w:val="007F7C52"/>
    <w:rsid w:val="0082063B"/>
    <w:rsid w:val="008232EC"/>
    <w:rsid w:val="00824E7A"/>
    <w:rsid w:val="00833E6E"/>
    <w:rsid w:val="008377C4"/>
    <w:rsid w:val="00860844"/>
    <w:rsid w:val="008650E6"/>
    <w:rsid w:val="00867EED"/>
    <w:rsid w:val="00872C59"/>
    <w:rsid w:val="00873296"/>
    <w:rsid w:val="0087578E"/>
    <w:rsid w:val="008806BC"/>
    <w:rsid w:val="00904963"/>
    <w:rsid w:val="00904B02"/>
    <w:rsid w:val="00916C2B"/>
    <w:rsid w:val="0092653D"/>
    <w:rsid w:val="009359D1"/>
    <w:rsid w:val="0096271B"/>
    <w:rsid w:val="00965EED"/>
    <w:rsid w:val="009665E0"/>
    <w:rsid w:val="009A5583"/>
    <w:rsid w:val="009B169E"/>
    <w:rsid w:val="009B7373"/>
    <w:rsid w:val="009B75F2"/>
    <w:rsid w:val="009D2BAD"/>
    <w:rsid w:val="009E0F3E"/>
    <w:rsid w:val="009F2267"/>
    <w:rsid w:val="00A22418"/>
    <w:rsid w:val="00A4682A"/>
    <w:rsid w:val="00A91B50"/>
    <w:rsid w:val="00AB3F11"/>
    <w:rsid w:val="00AB555C"/>
    <w:rsid w:val="00B002D8"/>
    <w:rsid w:val="00B60881"/>
    <w:rsid w:val="00B7203D"/>
    <w:rsid w:val="00B75D4C"/>
    <w:rsid w:val="00B928C3"/>
    <w:rsid w:val="00BA1D4E"/>
    <w:rsid w:val="00BA22EC"/>
    <w:rsid w:val="00BB1D76"/>
    <w:rsid w:val="00BE1D37"/>
    <w:rsid w:val="00BE1E8B"/>
    <w:rsid w:val="00BE5F43"/>
    <w:rsid w:val="00C312A4"/>
    <w:rsid w:val="00C40E7E"/>
    <w:rsid w:val="00C43DE9"/>
    <w:rsid w:val="00C7097D"/>
    <w:rsid w:val="00C74967"/>
    <w:rsid w:val="00C80605"/>
    <w:rsid w:val="00C83AEF"/>
    <w:rsid w:val="00CC0D13"/>
    <w:rsid w:val="00CC1473"/>
    <w:rsid w:val="00CC1844"/>
    <w:rsid w:val="00CC3D5F"/>
    <w:rsid w:val="00CC65F9"/>
    <w:rsid w:val="00CE5E29"/>
    <w:rsid w:val="00CE7114"/>
    <w:rsid w:val="00D00EEE"/>
    <w:rsid w:val="00D17C4C"/>
    <w:rsid w:val="00D255F0"/>
    <w:rsid w:val="00D65EA7"/>
    <w:rsid w:val="00D807B3"/>
    <w:rsid w:val="00D96B31"/>
    <w:rsid w:val="00D96E40"/>
    <w:rsid w:val="00DC3F1F"/>
    <w:rsid w:val="00DD24FC"/>
    <w:rsid w:val="00DF7283"/>
    <w:rsid w:val="00E16D5E"/>
    <w:rsid w:val="00E36028"/>
    <w:rsid w:val="00E4676B"/>
    <w:rsid w:val="00E720B3"/>
    <w:rsid w:val="00E72D6B"/>
    <w:rsid w:val="00E74552"/>
    <w:rsid w:val="00EA30B1"/>
    <w:rsid w:val="00EB1DAB"/>
    <w:rsid w:val="00EC001A"/>
    <w:rsid w:val="00EC75B4"/>
    <w:rsid w:val="00F015A5"/>
    <w:rsid w:val="00F22CDB"/>
    <w:rsid w:val="00F24BA3"/>
    <w:rsid w:val="00F67BB5"/>
    <w:rsid w:val="00FB4639"/>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paragraph" w:customStyle="1" w:styleId="Default">
    <w:name w:val="Default"/>
    <w:rsid w:val="00A4682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paragraph" w:customStyle="1" w:styleId="Default">
    <w:name w:val="Default"/>
    <w:rsid w:val="00A468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8333">
      <w:bodyDiv w:val="1"/>
      <w:marLeft w:val="0"/>
      <w:marRight w:val="0"/>
      <w:marTop w:val="0"/>
      <w:marBottom w:val="0"/>
      <w:divBdr>
        <w:top w:val="none" w:sz="0" w:space="0" w:color="auto"/>
        <w:left w:val="none" w:sz="0" w:space="0" w:color="auto"/>
        <w:bottom w:val="none" w:sz="0" w:space="0" w:color="auto"/>
        <w:right w:val="none" w:sz="0" w:space="0" w:color="auto"/>
      </w:divBdr>
    </w:div>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 w:id="17256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bcc@ga.w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ortress.wa.gov/ga/apps/SBCC/File.ashx?cid=18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tress.wa.gov/ga/apps/sbcc/Page.aspx?nid=19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huck.murray@commerce.wa.gov" TargetMode="External"/><Relationship Id="rId4" Type="http://schemas.microsoft.com/office/2007/relationships/stylesWithEffects" Target="stylesWithEffects.xml"/><Relationship Id="rId9" Type="http://schemas.openxmlformats.org/officeDocument/2006/relationships/hyperlink" Target="mailto:Tana.senn@leg.w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78AB0-57F9-4175-B8A4-22701D07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853</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Bryden, Peggy (DES)</cp:lastModifiedBy>
  <cp:revision>2</cp:revision>
  <cp:lastPrinted>2014-02-11T19:27:00Z</cp:lastPrinted>
  <dcterms:created xsi:type="dcterms:W3CDTF">2015-03-04T00:03:00Z</dcterms:created>
  <dcterms:modified xsi:type="dcterms:W3CDTF">2015-03-04T00:03:00Z</dcterms:modified>
</cp:coreProperties>
</file>