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781696" w:rsidRDefault="00781696" w:rsidP="00781696">
      <w:pPr>
        <w:tabs>
          <w:tab w:val="left" w:pos="-720"/>
        </w:tabs>
        <w:jc w:val="right"/>
        <w:rPr>
          <w:rFonts w:ascii="Times New Roman" w:hAnsi="Times New Roman"/>
          <w:b/>
          <w:sz w:val="28"/>
          <w:szCs w:val="28"/>
        </w:rPr>
      </w:pPr>
      <w:r>
        <w:rPr>
          <w:rFonts w:ascii="Times New Roman" w:hAnsi="Times New Roman"/>
          <w:b/>
          <w:sz w:val="28"/>
          <w:szCs w:val="28"/>
        </w:rPr>
        <w:t>15-093</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B95B09">
        <w:rPr>
          <w:rFonts w:ascii="Times New Roman" w:hAnsi="Times New Roman"/>
          <w:szCs w:val="24"/>
        </w:rPr>
        <w:fldChar w:fldCharType="begin">
          <w:ffData>
            <w:name w:val=""/>
            <w:enabled/>
            <w:calcOnExit w:val="0"/>
            <w:checkBox>
              <w:sizeAuto/>
              <w:default w:val="1"/>
            </w:checkBox>
          </w:ffData>
        </w:fldChar>
      </w:r>
      <w:r w:rsidR="00B95B09">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B95B09">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243532" w:rsidRDefault="00243532" w:rsidP="00243532">
      <w:pPr>
        <w:tabs>
          <w:tab w:val="left" w:pos="-720"/>
        </w:tabs>
        <w:rPr>
          <w:rFonts w:ascii="Times New Roman" w:hAnsi="Times New Roman"/>
          <w:b/>
          <w:sz w:val="20"/>
        </w:rPr>
      </w:pPr>
      <w:r w:rsidRPr="007464D5">
        <w:rPr>
          <w:rFonts w:ascii="Times New Roman" w:hAnsi="Times New Roman"/>
          <w:b/>
          <w:szCs w:val="24"/>
        </w:rPr>
        <w:tab/>
      </w:r>
      <w:r w:rsidR="00B95B09">
        <w:rPr>
          <w:rFonts w:cs="Arial"/>
          <w:szCs w:val="24"/>
        </w:rPr>
        <w:t>1030.1</w:t>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CC1473" w:rsidRDefault="004A172E" w:rsidP="00BB1D76">
      <w:pPr>
        <w:tabs>
          <w:tab w:val="left" w:pos="-720"/>
        </w:tabs>
        <w:rPr>
          <w:rFonts w:ascii="Times New Roman" w:hAnsi="Times New Roman"/>
        </w:rPr>
      </w:pPr>
      <w:r w:rsidRPr="007464D5">
        <w:rPr>
          <w:rFonts w:ascii="Times New Roman" w:hAnsi="Times New Roman"/>
          <w:szCs w:val="24"/>
        </w:rPr>
        <w:tab/>
      </w:r>
      <w:r w:rsidR="00B95B09">
        <w:rPr>
          <w:rFonts w:ascii="Times New Roman" w:hAnsi="Times New Roman"/>
          <w:szCs w:val="24"/>
        </w:rPr>
        <w:t>General</w:t>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B95B09">
        <w:rPr>
          <w:rFonts w:ascii="Times New Roman" w:hAnsi="Times New Roman"/>
          <w:b/>
        </w:rPr>
        <w:t>Jeffrey Shapiro, P.E., FSFPE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B95B09">
        <w:rPr>
          <w:rFonts w:ascii="Times New Roman" w:hAnsi="Times New Roman"/>
          <w:b/>
        </w:rPr>
        <w:t>President, International Code Consultants</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95B09">
        <w:rPr>
          <w:rFonts w:ascii="Times New Roman" w:hAnsi="Times New Roman"/>
          <w:b/>
        </w:rPr>
        <w:t xml:space="preserve"> 2/28/15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B95B09">
        <w:rPr>
          <w:rFonts w:ascii="Times New Roman" w:hAnsi="Times New Roman"/>
          <w:b/>
        </w:rPr>
        <w:t>Jeffrey Shapiro, P.E., FSFPE</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B95B09" w:rsidRPr="00B95B09">
        <w:rPr>
          <w:rFonts w:ascii="Times New Roman" w:hAnsi="Times New Roman"/>
          <w:b/>
        </w:rPr>
        <w:t xml:space="preserve"> </w:t>
      </w:r>
      <w:r w:rsidR="00B95B09">
        <w:rPr>
          <w:rFonts w:ascii="Times New Roman" w:hAnsi="Times New Roman"/>
          <w:b/>
        </w:rPr>
        <w:t>President, International Code Consultants</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B95B09">
        <w:rPr>
          <w:rFonts w:ascii="Times New Roman" w:hAnsi="Times New Roman"/>
          <w:b/>
        </w:rPr>
        <w:t>8207 Asmara Drive, Austin, TX  78750</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B95B09">
        <w:rPr>
          <w:rFonts w:ascii="Times New Roman" w:hAnsi="Times New Roman"/>
          <w:b/>
        </w:rPr>
        <w:t>512-795-2900, Ext. 1</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B95B09">
        <w:rPr>
          <w:rFonts w:ascii="Times New Roman" w:hAnsi="Times New Roman"/>
          <w:b/>
        </w:rPr>
        <w:t>jeff.shapiro@intlcodeconsultants.com</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B95B09">
        <w:rPr>
          <w:rFonts w:ascii="Times New Roman" w:hAnsi="Times New Roman"/>
          <w:u w:val="single"/>
        </w:rPr>
        <w:t>IBC</w:t>
      </w:r>
      <w:r>
        <w:rPr>
          <w:rFonts w:ascii="Times New Roman" w:hAnsi="Times New Roman"/>
        </w:rPr>
        <w:t>__________________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sidR="00B95B09">
        <w:rPr>
          <w:rFonts w:ascii="Times New Roman" w:hAnsi="Times New Roman"/>
        </w:rPr>
        <w:t xml:space="preserve"> </w:t>
      </w:r>
      <w:r w:rsidR="00B95B09" w:rsidRPr="00B95B09">
        <w:rPr>
          <w:rFonts w:ascii="Times New Roman" w:hAnsi="Times New Roman"/>
          <w:u w:val="single"/>
        </w:rPr>
        <w:t>1030.1</w:t>
      </w:r>
      <w:r>
        <w:rPr>
          <w:rFonts w:ascii="Times New Roman" w:hAnsi="Times New Roman"/>
        </w:rPr>
        <w:t>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B95B09" w:rsidRDefault="00B95B09" w:rsidP="00FB746A">
      <w:pPr>
        <w:tabs>
          <w:tab w:val="left" w:pos="-720"/>
        </w:tabs>
        <w:rPr>
          <w:rFonts w:ascii="Times New Roman" w:hAnsi="Times New Roman"/>
        </w:rPr>
      </w:pPr>
    </w:p>
    <w:p w:rsidR="00B95B09" w:rsidRPr="00B95B09" w:rsidRDefault="00B95B09" w:rsidP="00B95B09">
      <w:pPr>
        <w:tabs>
          <w:tab w:val="left" w:pos="-720"/>
        </w:tabs>
        <w:ind w:left="720"/>
        <w:rPr>
          <w:rFonts w:ascii="Times New Roman" w:hAnsi="Times New Roman"/>
          <w:b/>
        </w:rPr>
      </w:pPr>
      <w:r w:rsidRPr="00B95B09">
        <w:rPr>
          <w:rFonts w:ascii="Times New Roman" w:hAnsi="Times New Roman"/>
          <w:b/>
        </w:rPr>
        <w:t>Add a new Exception 4 as follows:</w:t>
      </w:r>
    </w:p>
    <w:p w:rsidR="00B95B09" w:rsidRDefault="00B95B09" w:rsidP="00B95B09">
      <w:pPr>
        <w:tabs>
          <w:tab w:val="left" w:pos="-720"/>
        </w:tabs>
        <w:ind w:left="720"/>
        <w:rPr>
          <w:rFonts w:ascii="Times New Roman" w:hAnsi="Times New Roman"/>
        </w:rPr>
      </w:pPr>
    </w:p>
    <w:p w:rsidR="00B95B09" w:rsidRPr="00B95B09" w:rsidRDefault="00B95B09" w:rsidP="00B95B09">
      <w:pPr>
        <w:tabs>
          <w:tab w:val="left" w:pos="-720"/>
          <w:tab w:val="left" w:pos="0"/>
          <w:tab w:val="left" w:pos="720"/>
        </w:tabs>
        <w:ind w:left="720"/>
        <w:rPr>
          <w:rFonts w:ascii="Times New Roman" w:hAnsi="Times New Roman"/>
          <w:u w:val="single"/>
        </w:rPr>
      </w:pPr>
      <w:r w:rsidRPr="00B95B09">
        <w:rPr>
          <w:rFonts w:ascii="Times New Roman" w:hAnsi="Times New Roman"/>
          <w:u w:val="single"/>
        </w:rPr>
        <w:t>4. Within individual dwelling and sleeping units in Groups R-2 and R-3, where the</w:t>
      </w:r>
      <w:r>
        <w:rPr>
          <w:rFonts w:ascii="Times New Roman" w:hAnsi="Times New Roman"/>
          <w:u w:val="single"/>
        </w:rPr>
        <w:t xml:space="preserve"> </w:t>
      </w:r>
      <w:r w:rsidRPr="00B95B09">
        <w:rPr>
          <w:rFonts w:ascii="Times New Roman" w:hAnsi="Times New Roman"/>
          <w:u w:val="single"/>
        </w:rPr>
        <w:t>buildings is equipped throughout with an automatic sprinkler system installed in</w:t>
      </w:r>
      <w:r>
        <w:rPr>
          <w:rFonts w:ascii="Times New Roman" w:hAnsi="Times New Roman"/>
          <w:u w:val="single"/>
        </w:rPr>
        <w:t xml:space="preserve"> </w:t>
      </w:r>
      <w:r w:rsidRPr="00B95B09">
        <w:rPr>
          <w:rFonts w:ascii="Times New Roman" w:hAnsi="Times New Roman"/>
          <w:u w:val="single"/>
        </w:rPr>
        <w:t>accordance with Section 903.3.1.1, 903.3.1.2 or 903.3.1.3, sleeping rooms in</w:t>
      </w:r>
      <w:r>
        <w:rPr>
          <w:rFonts w:ascii="Times New Roman" w:hAnsi="Times New Roman"/>
          <w:u w:val="single"/>
        </w:rPr>
        <w:t xml:space="preserve"> </w:t>
      </w:r>
      <w:r w:rsidRPr="00B95B09">
        <w:rPr>
          <w:rFonts w:ascii="Times New Roman" w:hAnsi="Times New Roman"/>
          <w:u w:val="single"/>
        </w:rPr>
        <w:t>basements shall not be required to have emergency escape and rescue</w:t>
      </w:r>
      <w:r>
        <w:rPr>
          <w:rFonts w:ascii="Times New Roman" w:hAnsi="Times New Roman"/>
          <w:u w:val="single"/>
        </w:rPr>
        <w:t xml:space="preserve"> </w:t>
      </w:r>
      <w:r w:rsidRPr="00B95B09">
        <w:rPr>
          <w:rFonts w:ascii="Times New Roman" w:hAnsi="Times New Roman"/>
          <w:u w:val="single"/>
        </w:rPr>
        <w:t>openings provided that the basement has one of the following:</w:t>
      </w:r>
    </w:p>
    <w:p w:rsidR="00B95B09" w:rsidRPr="00B95B09" w:rsidRDefault="00B95B09" w:rsidP="00B95B09">
      <w:pPr>
        <w:tabs>
          <w:tab w:val="left" w:pos="-720"/>
          <w:tab w:val="left" w:pos="0"/>
        </w:tabs>
        <w:ind w:left="1080"/>
        <w:rPr>
          <w:rFonts w:ascii="Times New Roman" w:hAnsi="Times New Roman"/>
          <w:u w:val="single"/>
        </w:rPr>
      </w:pPr>
      <w:r w:rsidRPr="00B95B09">
        <w:rPr>
          <w:rFonts w:ascii="Times New Roman" w:hAnsi="Times New Roman"/>
          <w:u w:val="single"/>
        </w:rPr>
        <w:t>1. One means of egress and one emergency escape and rescue opening</w:t>
      </w:r>
    </w:p>
    <w:p w:rsidR="0072394F" w:rsidRPr="00B95B09" w:rsidRDefault="00B95B09" w:rsidP="00B95B09">
      <w:pPr>
        <w:tabs>
          <w:tab w:val="left" w:pos="-720"/>
          <w:tab w:val="left" w:pos="0"/>
        </w:tabs>
        <w:ind w:left="1080"/>
        <w:rPr>
          <w:rFonts w:ascii="Times New Roman" w:hAnsi="Times New Roman"/>
          <w:u w:val="single"/>
        </w:rPr>
      </w:pPr>
      <w:r w:rsidRPr="00B95B09">
        <w:rPr>
          <w:rFonts w:ascii="Times New Roman" w:hAnsi="Times New Roman"/>
          <w:u w:val="single"/>
        </w:rPr>
        <w:t>2. Two means of egress.</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850304" w:rsidRDefault="00B95B09" w:rsidP="00B75D4C">
      <w:pPr>
        <w:pStyle w:val="ListParagraph"/>
        <w:tabs>
          <w:tab w:val="left" w:pos="-720"/>
          <w:tab w:val="left" w:pos="0"/>
          <w:tab w:val="left" w:pos="720"/>
        </w:tabs>
        <w:ind w:left="360"/>
        <w:rPr>
          <w:rFonts w:ascii="Times New Roman" w:hAnsi="Times New Roman"/>
          <w:szCs w:val="24"/>
          <w:u w:val="single"/>
        </w:rPr>
      </w:pPr>
      <w:r w:rsidRPr="00B95B09">
        <w:rPr>
          <w:rFonts w:ascii="Times New Roman" w:hAnsi="Times New Roman"/>
          <w:szCs w:val="24"/>
          <w:u w:val="single"/>
        </w:rPr>
        <w:t>This Section has very limited application, only applying to Group R-3 and a small number of Group R-2 occupancies that have only one exit per story. It does not apply to Group R-1 or any Group I occupancy, all of which are</w:t>
      </w:r>
      <w:r w:rsidR="00850304">
        <w:rPr>
          <w:rFonts w:ascii="Times New Roman" w:hAnsi="Times New Roman"/>
          <w:szCs w:val="24"/>
          <w:u w:val="single"/>
        </w:rPr>
        <w:t xml:space="preserve"> already</w:t>
      </w:r>
      <w:r w:rsidRPr="00B95B09">
        <w:rPr>
          <w:rFonts w:ascii="Times New Roman" w:hAnsi="Times New Roman"/>
          <w:szCs w:val="24"/>
          <w:u w:val="single"/>
        </w:rPr>
        <w:t xml:space="preserve"> permitted</w:t>
      </w:r>
      <w:r w:rsidR="00850304">
        <w:rPr>
          <w:rFonts w:ascii="Times New Roman" w:hAnsi="Times New Roman"/>
          <w:szCs w:val="24"/>
          <w:u w:val="single"/>
        </w:rPr>
        <w:t xml:space="preserve"> by code</w:t>
      </w:r>
      <w:r w:rsidRPr="00B95B09">
        <w:rPr>
          <w:rFonts w:ascii="Times New Roman" w:hAnsi="Times New Roman"/>
          <w:szCs w:val="24"/>
          <w:u w:val="single"/>
        </w:rPr>
        <w:t xml:space="preserve"> to have </w:t>
      </w:r>
      <w:r w:rsidR="00850304">
        <w:rPr>
          <w:rFonts w:ascii="Times New Roman" w:hAnsi="Times New Roman"/>
          <w:szCs w:val="24"/>
          <w:u w:val="single"/>
        </w:rPr>
        <w:t xml:space="preserve">windowless </w:t>
      </w:r>
      <w:r w:rsidRPr="00B95B09">
        <w:rPr>
          <w:rFonts w:ascii="Times New Roman" w:hAnsi="Times New Roman"/>
          <w:szCs w:val="24"/>
          <w:u w:val="single"/>
        </w:rPr>
        <w:t>sleeping rooms in basements and stories of sprinklered buildings, even those with a single exit per Tables 1006.3.2(1) and 1006.3.2(2).</w:t>
      </w:r>
    </w:p>
    <w:p w:rsidR="00850304" w:rsidRDefault="00850304"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r w:rsidRPr="00B95B09">
        <w:rPr>
          <w:rFonts w:ascii="Times New Roman" w:hAnsi="Times New Roman"/>
          <w:szCs w:val="24"/>
          <w:u w:val="single"/>
        </w:rPr>
        <w:t xml:space="preserve">The reason for not applying a similar allowance to Group R-3 and single exit Group R-2 is not evident considering that other occupancies pose a more significant life-safety risk. Nevertheless, rather than seeking full equivalency with these other occupancies when sprinklers are provided, this proposal seeks only a partial credit for basements, with the hope of finding common ground with parties who </w:t>
      </w:r>
      <w:r w:rsidR="00850304">
        <w:rPr>
          <w:rFonts w:ascii="Times New Roman" w:hAnsi="Times New Roman"/>
          <w:szCs w:val="24"/>
          <w:u w:val="single"/>
        </w:rPr>
        <w:t>do not support</w:t>
      </w:r>
      <w:r w:rsidRPr="00B95B09">
        <w:rPr>
          <w:rFonts w:ascii="Times New Roman" w:hAnsi="Times New Roman"/>
          <w:szCs w:val="24"/>
          <w:u w:val="single"/>
        </w:rPr>
        <w:t xml:space="preserve"> a general exception for means of escape in fully sprinklered buildings. This proposal maintains at least one basement escape window or door or an additional means of egress in addition to the primary means of egress. Plus, it is important to remember that both sprinklers and hard-wired interconnected smoke alarms are required to qualify for the proposed exception.</w:t>
      </w: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r w:rsidRPr="00B95B09">
        <w:rPr>
          <w:rFonts w:ascii="Times New Roman" w:hAnsi="Times New Roman"/>
          <w:szCs w:val="24"/>
          <w:u w:val="single"/>
        </w:rPr>
        <w:t>Th</w:t>
      </w:r>
      <w:r w:rsidR="00850304">
        <w:rPr>
          <w:rFonts w:ascii="Times New Roman" w:hAnsi="Times New Roman"/>
          <w:szCs w:val="24"/>
          <w:u w:val="single"/>
        </w:rPr>
        <w:t>e</w:t>
      </w:r>
      <w:r w:rsidRPr="00B95B09">
        <w:rPr>
          <w:rFonts w:ascii="Times New Roman" w:hAnsi="Times New Roman"/>
          <w:szCs w:val="24"/>
          <w:u w:val="single"/>
        </w:rPr>
        <w:t xml:space="preserve"> combination of sprinklers and smoke alarms is well established by the NFPA 101 - Life Safety Code as a basis for eliminating all required means of escape openings from sprinklered one- and two-family dwellings, hotels, motels, apartments and similar uses. In addition, the states of New Hampshire and Virginia have amended their statewide code adoptions by eliminating requirement for means of escape openings when sprinklers are provided. Minnesota adopted a similar amendment, but the allowance was limited to exempting all basement escape windows (these were IRC amendments, but the logic conveys to the IBC discussion).</w:t>
      </w: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850304" w:rsidP="00B75D4C">
      <w:pPr>
        <w:pStyle w:val="ListParagraph"/>
        <w:tabs>
          <w:tab w:val="left" w:pos="-720"/>
          <w:tab w:val="left" w:pos="0"/>
          <w:tab w:val="left" w:pos="720"/>
        </w:tabs>
        <w:ind w:left="360"/>
        <w:rPr>
          <w:rFonts w:ascii="Times New Roman" w:hAnsi="Times New Roman"/>
          <w:szCs w:val="24"/>
          <w:u w:val="single"/>
        </w:rPr>
      </w:pPr>
      <w:r>
        <w:rPr>
          <w:rFonts w:ascii="Times New Roman" w:hAnsi="Times New Roman"/>
          <w:szCs w:val="24"/>
          <w:u w:val="single"/>
        </w:rPr>
        <w:t>This proposal has been submitted for inclusion in the IBC in the 2018 edition Group A code cycle, and t</w:t>
      </w:r>
      <w:r w:rsidR="00B95B09" w:rsidRPr="00B95B09">
        <w:rPr>
          <w:rFonts w:ascii="Times New Roman" w:hAnsi="Times New Roman"/>
          <w:szCs w:val="24"/>
          <w:u w:val="single"/>
        </w:rPr>
        <w:t xml:space="preserve">here are many reasons for adding </w:t>
      </w:r>
      <w:r>
        <w:rPr>
          <w:rFonts w:ascii="Times New Roman" w:hAnsi="Times New Roman"/>
          <w:szCs w:val="24"/>
          <w:u w:val="single"/>
        </w:rPr>
        <w:t>the</w:t>
      </w:r>
      <w:r w:rsidR="00B95B09" w:rsidRPr="00B95B09">
        <w:rPr>
          <w:rFonts w:ascii="Times New Roman" w:hAnsi="Times New Roman"/>
          <w:szCs w:val="24"/>
          <w:u w:val="single"/>
        </w:rPr>
        <w:t xml:space="preserve"> exception to the IBC.</w:t>
      </w:r>
      <w:r w:rsidR="00EC1423">
        <w:rPr>
          <w:rFonts w:ascii="Times New Roman" w:hAnsi="Times New Roman"/>
          <w:szCs w:val="24"/>
          <w:u w:val="single"/>
        </w:rPr>
        <w:t xml:space="preserve">  I</w:t>
      </w:r>
      <w:r w:rsidR="00B95B09" w:rsidRPr="00B95B09">
        <w:rPr>
          <w:rFonts w:ascii="Times New Roman" w:hAnsi="Times New Roman"/>
          <w:szCs w:val="24"/>
          <w:u w:val="single"/>
        </w:rPr>
        <w:t>t is important to provide</w:t>
      </w:r>
      <w:r>
        <w:rPr>
          <w:rFonts w:ascii="Times New Roman" w:hAnsi="Times New Roman"/>
          <w:szCs w:val="24"/>
          <w:u w:val="single"/>
        </w:rPr>
        <w:t xml:space="preserve"> reasonable </w:t>
      </w:r>
      <w:r w:rsidR="00B95B09" w:rsidRPr="00B95B09">
        <w:rPr>
          <w:rFonts w:ascii="Times New Roman" w:hAnsi="Times New Roman"/>
          <w:szCs w:val="24"/>
          <w:u w:val="single"/>
        </w:rPr>
        <w:t>incentives to strongly encourage the installation of sprinkler systems.</w:t>
      </w:r>
      <w:r>
        <w:rPr>
          <w:rFonts w:ascii="Times New Roman" w:hAnsi="Times New Roman"/>
          <w:szCs w:val="24"/>
          <w:u w:val="single"/>
        </w:rPr>
        <w:t xml:space="preserve">  This incentive is reasonable, recognizing that </w:t>
      </w:r>
      <w:r w:rsidR="00B95B09" w:rsidRPr="00B95B09">
        <w:rPr>
          <w:rFonts w:ascii="Times New Roman" w:hAnsi="Times New Roman"/>
          <w:szCs w:val="24"/>
          <w:u w:val="single"/>
        </w:rPr>
        <w:t>there is less benefit to a basement means of escape</w:t>
      </w:r>
      <w:r w:rsidR="00EC1423">
        <w:rPr>
          <w:rFonts w:ascii="Times New Roman" w:hAnsi="Times New Roman"/>
          <w:szCs w:val="24"/>
          <w:u w:val="single"/>
        </w:rPr>
        <w:t xml:space="preserve"> in a non-sprinklered dwelling versus openings on stories above grade</w:t>
      </w:r>
      <w:r w:rsidR="00B95B09" w:rsidRPr="00B95B09">
        <w:rPr>
          <w:rFonts w:ascii="Times New Roman" w:hAnsi="Times New Roman"/>
          <w:szCs w:val="24"/>
          <w:u w:val="single"/>
        </w:rPr>
        <w:t xml:space="preserve">. In a non-sprinklered fire event, it might be possible for an occupant to be rescued or escape using an above-grade window because the lower portion of the window may initially draw fresh air. However, a </w:t>
      </w:r>
      <w:r w:rsidR="00B95B09" w:rsidRPr="00B95B09">
        <w:rPr>
          <w:rFonts w:ascii="Times New Roman" w:hAnsi="Times New Roman"/>
          <w:szCs w:val="24"/>
          <w:u w:val="single"/>
        </w:rPr>
        <w:lastRenderedPageBreak/>
        <w:t>basement window well will quickly fill with smoke and heated gases if there's an uncontrolled fire in the basement, and the importance of fire sprinklers in providing extra egress time cannot be overstated. Likewise, by the time firefighters arrive, rescuing an occupant from a developed basement fire through a means of escape window or using such window as an escape route for a firefighter seems highly unlikely. Firefighter safety is far better assured by sprinklers.</w:t>
      </w: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p>
    <w:p w:rsidR="00B95B09" w:rsidRPr="00B95B09" w:rsidRDefault="00B95B09" w:rsidP="00B75D4C">
      <w:pPr>
        <w:pStyle w:val="ListParagraph"/>
        <w:tabs>
          <w:tab w:val="left" w:pos="-720"/>
          <w:tab w:val="left" w:pos="0"/>
          <w:tab w:val="left" w:pos="720"/>
        </w:tabs>
        <w:ind w:left="360"/>
        <w:rPr>
          <w:rFonts w:ascii="Times New Roman" w:hAnsi="Times New Roman"/>
          <w:szCs w:val="24"/>
          <w:u w:val="single"/>
        </w:rPr>
      </w:pPr>
      <w:r w:rsidRPr="00B95B09">
        <w:rPr>
          <w:rFonts w:ascii="Times New Roman" w:hAnsi="Times New Roman"/>
          <w:szCs w:val="24"/>
          <w:u w:val="single"/>
        </w:rPr>
        <w:t xml:space="preserve">Looking at the value of this incentive, the cost savings associated with eliminating even one basement escape window and the associated ladder and window well is significant. Combine that with the benefit of eliminating leakage and maintenance issues and tripping/fall hazards that may be associated with window wells, and the incentive grows. Finally, recognize the enormous benefit that this change will offer for homebuyers, who will gain the option of finishing a rough-in basement without the </w:t>
      </w:r>
      <w:r w:rsidR="00877A67" w:rsidRPr="00B95B09">
        <w:rPr>
          <w:rFonts w:ascii="Times New Roman" w:hAnsi="Times New Roman"/>
          <w:szCs w:val="24"/>
          <w:u w:val="single"/>
        </w:rPr>
        <w:t>constraint</w:t>
      </w:r>
      <w:r w:rsidRPr="00B95B09">
        <w:rPr>
          <w:rFonts w:ascii="Times New Roman" w:hAnsi="Times New Roman"/>
          <w:szCs w:val="24"/>
          <w:u w:val="single"/>
        </w:rPr>
        <w:t xml:space="preserve"> of laying out sleeping rooms based on existing window locations or having to add windows to an existing basement. This single incentive might be valuable enough to encourage voluntary sprinkler installations, and still, the level of safety will exceed what is required by the IBC for similar occupancies and by NFPA 101. </w:t>
      </w:r>
    </w:p>
    <w:p w:rsidR="00B95B09" w:rsidRPr="00B95B09" w:rsidRDefault="00B95B09" w:rsidP="00B95B09">
      <w:pPr>
        <w:pStyle w:val="PlainText"/>
        <w:rPr>
          <w:rFonts w:ascii="Times New Roman" w:hAnsi="Times New Roman"/>
          <w:sz w:val="24"/>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0E0AF7"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781696">
        <w:rPr>
          <w:rFonts w:ascii="Times New Roman" w:hAnsi="Times New Roman"/>
          <w:sz w:val="24"/>
          <w:szCs w:val="24"/>
        </w:rPr>
      </w:r>
      <w:r w:rsidR="00781696">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81696">
        <w:rPr>
          <w:rFonts w:ascii="Times New Roman" w:hAnsi="Times New Roman"/>
          <w:sz w:val="24"/>
          <w:szCs w:val="24"/>
        </w:rPr>
      </w:r>
      <w:r w:rsidR="00781696">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81696">
        <w:rPr>
          <w:rFonts w:ascii="Times New Roman" w:hAnsi="Times New Roman"/>
          <w:sz w:val="24"/>
          <w:szCs w:val="24"/>
        </w:rPr>
      </w:r>
      <w:r w:rsidR="00781696">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81696">
        <w:rPr>
          <w:rFonts w:ascii="Times New Roman" w:hAnsi="Times New Roman"/>
          <w:sz w:val="24"/>
          <w:szCs w:val="24"/>
        </w:rPr>
      </w:r>
      <w:r w:rsidR="00781696">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0E0AF7" w:rsidRDefault="000E0AF7" w:rsidP="00B75D4C">
      <w:pPr>
        <w:tabs>
          <w:tab w:val="left" w:pos="-720"/>
          <w:tab w:val="left" w:pos="0"/>
          <w:tab w:val="left" w:pos="720"/>
        </w:tabs>
        <w:ind w:left="1080"/>
        <w:rPr>
          <w:rFonts w:ascii="Times New Roman" w:hAnsi="Times New Roman"/>
          <w:szCs w:val="24"/>
        </w:rPr>
      </w:pPr>
    </w:p>
    <w:p w:rsidR="000E0AF7" w:rsidRPr="000E0AF7" w:rsidRDefault="000E0AF7" w:rsidP="000E0AF7">
      <w:pPr>
        <w:tabs>
          <w:tab w:val="left" w:pos="-720"/>
          <w:tab w:val="left" w:pos="0"/>
          <w:tab w:val="left" w:pos="720"/>
        </w:tabs>
        <w:ind w:left="270"/>
        <w:rPr>
          <w:rFonts w:ascii="Times New Roman" w:hAnsi="Times New Roman"/>
          <w:szCs w:val="24"/>
          <w:u w:val="single"/>
        </w:rPr>
      </w:pPr>
      <w:r>
        <w:rPr>
          <w:rFonts w:ascii="Times New Roman" w:hAnsi="Times New Roman"/>
          <w:szCs w:val="24"/>
          <w:u w:val="single"/>
        </w:rPr>
        <w:t>This proposal will incentivize the voluntary installation of fire sprinklers in dwellings.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
            <w:enabled/>
            <w:calcOnExit w:val="0"/>
            <w:checkBox>
              <w:sizeAuto/>
              <w:default w:val="0"/>
            </w:checkBox>
          </w:ffData>
        </w:fldChar>
      </w:r>
      <w:r w:rsidR="00873296" w:rsidRPr="0087578E">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0E0AF7">
        <w:rPr>
          <w:rFonts w:ascii="Times New Roman" w:hAnsi="Times New Roman"/>
          <w:szCs w:val="24"/>
        </w:rPr>
        <w:fldChar w:fldCharType="begin">
          <w:ffData>
            <w:name w:val=""/>
            <w:enabled/>
            <w:calcOnExit w:val="0"/>
            <w:checkBox>
              <w:sizeAuto/>
              <w:default w:val="1"/>
            </w:checkBox>
          </w:ffData>
        </w:fldChar>
      </w:r>
      <w:r w:rsidR="000E0AF7">
        <w:rPr>
          <w:rFonts w:ascii="Times New Roman" w:hAnsi="Times New Roman"/>
          <w:szCs w:val="24"/>
        </w:rPr>
        <w:instrText xml:space="preserve"> FORMCHECKBOX </w:instrText>
      </w:r>
      <w:r w:rsidR="00781696">
        <w:rPr>
          <w:rFonts w:ascii="Times New Roman" w:hAnsi="Times New Roman"/>
          <w:szCs w:val="24"/>
        </w:rPr>
      </w:r>
      <w:r w:rsidR="00781696">
        <w:rPr>
          <w:rFonts w:ascii="Times New Roman" w:hAnsi="Times New Roman"/>
          <w:szCs w:val="24"/>
        </w:rPr>
        <w:fldChar w:fldCharType="separate"/>
      </w:r>
      <w:r w:rsidR="000E0AF7">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0E0AF7" w:rsidRDefault="00873296" w:rsidP="00E16D5E">
      <w:pPr>
        <w:ind w:left="720"/>
        <w:rPr>
          <w:rFonts w:ascii="Times New Roman" w:hAnsi="Times New Roman"/>
          <w:szCs w:val="24"/>
          <w:u w:val="single"/>
        </w:rPr>
      </w:pPr>
      <w:r w:rsidRPr="0087578E">
        <w:rPr>
          <w:rFonts w:ascii="Times New Roman" w:hAnsi="Times New Roman"/>
          <w:szCs w:val="24"/>
        </w:rPr>
        <w:t xml:space="preserve">Explain: </w:t>
      </w:r>
      <w:r w:rsidR="000E0AF7">
        <w:rPr>
          <w:rFonts w:ascii="Times New Roman" w:hAnsi="Times New Roman"/>
          <w:szCs w:val="24"/>
          <w:u w:val="single"/>
        </w:rPr>
        <w:t>Because use of the exception is optional, there is no mandatory cost impact.  However, the cost of construction may decrease for homes that are equipped with a fire sprinkler system of the exception is utilized.</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0E0AF7">
      <w:footerReference w:type="even" r:id="rId12"/>
      <w:headerReference w:type="first" r:id="rId13"/>
      <w:footerReference w:type="first" r:id="rId14"/>
      <w:pgSz w:w="12240" w:h="15840"/>
      <w:pgMar w:top="720" w:right="720" w:bottom="45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E1" w:rsidRDefault="00047EE1" w:rsidP="00110F55">
      <w:r>
        <w:separator/>
      </w:r>
    </w:p>
  </w:endnote>
  <w:endnote w:type="continuationSeparator" w:id="0">
    <w:p w:rsidR="00047EE1" w:rsidRDefault="00047EE1"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EA57F5">
      <w:rPr>
        <w:noProof/>
        <w:sz w:val="18"/>
        <w:szCs w:val="18"/>
      </w:rPr>
      <w:t>March 23,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EA57F5">
      <w:rPr>
        <w:noProof/>
        <w:sz w:val="18"/>
        <w:szCs w:val="18"/>
      </w:rPr>
      <w:t>March 23,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E1" w:rsidRDefault="00047EE1" w:rsidP="00110F55">
      <w:r>
        <w:separator/>
      </w:r>
    </w:p>
  </w:footnote>
  <w:footnote w:type="continuationSeparator" w:id="0">
    <w:p w:rsidR="00047EE1" w:rsidRDefault="00047EE1"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7EE1"/>
    <w:rsid w:val="00075F76"/>
    <w:rsid w:val="00082B95"/>
    <w:rsid w:val="000835B8"/>
    <w:rsid w:val="000C25C1"/>
    <w:rsid w:val="000E0AF7"/>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1696"/>
    <w:rsid w:val="007839BB"/>
    <w:rsid w:val="00790A22"/>
    <w:rsid w:val="007A5DC3"/>
    <w:rsid w:val="007C1CE4"/>
    <w:rsid w:val="007C7179"/>
    <w:rsid w:val="007D72F3"/>
    <w:rsid w:val="007F5B2F"/>
    <w:rsid w:val="007F67BF"/>
    <w:rsid w:val="007F7C52"/>
    <w:rsid w:val="0082063B"/>
    <w:rsid w:val="008232EC"/>
    <w:rsid w:val="00824E7A"/>
    <w:rsid w:val="00833E6E"/>
    <w:rsid w:val="00850304"/>
    <w:rsid w:val="00860844"/>
    <w:rsid w:val="008650E6"/>
    <w:rsid w:val="00867EED"/>
    <w:rsid w:val="00872C59"/>
    <w:rsid w:val="00873296"/>
    <w:rsid w:val="0087578E"/>
    <w:rsid w:val="00877A67"/>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555C"/>
    <w:rsid w:val="00B002D8"/>
    <w:rsid w:val="00B7203D"/>
    <w:rsid w:val="00B75D4C"/>
    <w:rsid w:val="00B928C3"/>
    <w:rsid w:val="00B95B09"/>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011BC"/>
    <w:rsid w:val="00D17C4C"/>
    <w:rsid w:val="00D255F0"/>
    <w:rsid w:val="00D65EA7"/>
    <w:rsid w:val="00D807B3"/>
    <w:rsid w:val="00D96B31"/>
    <w:rsid w:val="00D96E40"/>
    <w:rsid w:val="00D970BE"/>
    <w:rsid w:val="00DC3F1F"/>
    <w:rsid w:val="00DD24FC"/>
    <w:rsid w:val="00DE10E8"/>
    <w:rsid w:val="00DF7283"/>
    <w:rsid w:val="00E16D5E"/>
    <w:rsid w:val="00E36028"/>
    <w:rsid w:val="00E4676B"/>
    <w:rsid w:val="00E720B3"/>
    <w:rsid w:val="00E72D6B"/>
    <w:rsid w:val="00E74552"/>
    <w:rsid w:val="00EA30B1"/>
    <w:rsid w:val="00EA57F5"/>
    <w:rsid w:val="00EB1DAB"/>
    <w:rsid w:val="00EC001A"/>
    <w:rsid w:val="00EC1423"/>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E4B7-145D-401C-A009-9C3EB04E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3</cp:revision>
  <cp:lastPrinted>2014-02-11T19:27:00Z</cp:lastPrinted>
  <dcterms:created xsi:type="dcterms:W3CDTF">2015-03-24T01:09:00Z</dcterms:created>
  <dcterms:modified xsi:type="dcterms:W3CDTF">2015-03-24T01:09:00Z</dcterms:modified>
</cp:coreProperties>
</file>