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1705"/>
        <w:gridCol w:w="1246"/>
        <w:gridCol w:w="4986"/>
        <w:gridCol w:w="2858"/>
      </w:tblGrid>
      <w:tr w:rsidR="008F3112" w:rsidRPr="00743C22" w14:paraId="19C4AFB2" w14:textId="77777777" w:rsidTr="00E3005E">
        <w:trPr>
          <w:tblHeader/>
        </w:trPr>
        <w:tc>
          <w:tcPr>
            <w:tcW w:w="1705" w:type="dxa"/>
            <w:tcBorders>
              <w:bottom w:val="single" w:sz="4" w:space="0" w:color="auto"/>
            </w:tcBorders>
          </w:tcPr>
          <w:p w14:paraId="15F533B0" w14:textId="2C5B11BB" w:rsidR="00384DC0" w:rsidRPr="008F3112" w:rsidRDefault="00384DC0" w:rsidP="00B233BF">
            <w:pPr>
              <w:jc w:val="center"/>
              <w:rPr>
                <w:rFonts w:ascii="Arial" w:hAnsi="Arial" w:cs="Arial"/>
                <w:b/>
                <w:sz w:val="24"/>
                <w:szCs w:val="24"/>
              </w:rPr>
            </w:pPr>
            <w:r w:rsidRPr="008F3112">
              <w:rPr>
                <w:rFonts w:ascii="Arial" w:hAnsi="Arial" w:cs="Arial"/>
                <w:b/>
                <w:sz w:val="24"/>
                <w:szCs w:val="24"/>
              </w:rPr>
              <w:t>From</w:t>
            </w:r>
            <w:r w:rsidR="005F08B2">
              <w:rPr>
                <w:rFonts w:ascii="Arial" w:hAnsi="Arial" w:cs="Arial"/>
                <w:b/>
                <w:sz w:val="24"/>
                <w:szCs w:val="24"/>
              </w:rPr>
              <w:t>/Date</w:t>
            </w:r>
          </w:p>
        </w:tc>
        <w:tc>
          <w:tcPr>
            <w:tcW w:w="1246" w:type="dxa"/>
            <w:tcBorders>
              <w:bottom w:val="single" w:sz="4" w:space="0" w:color="auto"/>
            </w:tcBorders>
            <w:vAlign w:val="center"/>
          </w:tcPr>
          <w:p w14:paraId="1502150E" w14:textId="14C66E6B" w:rsidR="00384DC0" w:rsidRPr="008F3112" w:rsidRDefault="00CB0F77" w:rsidP="00B233BF">
            <w:pPr>
              <w:jc w:val="center"/>
              <w:rPr>
                <w:rFonts w:ascii="Arial" w:hAnsi="Arial" w:cs="Arial"/>
                <w:b/>
                <w:sz w:val="24"/>
                <w:szCs w:val="24"/>
              </w:rPr>
            </w:pPr>
            <w:r w:rsidRPr="008F3112">
              <w:rPr>
                <w:rFonts w:ascii="Arial" w:hAnsi="Arial" w:cs="Arial"/>
                <w:b/>
                <w:sz w:val="24"/>
                <w:szCs w:val="24"/>
              </w:rPr>
              <w:t>Position</w:t>
            </w:r>
          </w:p>
        </w:tc>
        <w:tc>
          <w:tcPr>
            <w:tcW w:w="4986" w:type="dxa"/>
            <w:tcBorders>
              <w:bottom w:val="single" w:sz="4" w:space="0" w:color="auto"/>
            </w:tcBorders>
          </w:tcPr>
          <w:p w14:paraId="0BEE7AC1" w14:textId="77777777" w:rsidR="00384DC0" w:rsidRPr="008F3112" w:rsidRDefault="00384DC0" w:rsidP="00B233BF">
            <w:pPr>
              <w:jc w:val="center"/>
              <w:rPr>
                <w:rFonts w:ascii="Arial" w:hAnsi="Arial" w:cs="Arial"/>
                <w:b/>
                <w:sz w:val="24"/>
                <w:szCs w:val="24"/>
              </w:rPr>
            </w:pPr>
            <w:r w:rsidRPr="008F3112">
              <w:rPr>
                <w:rFonts w:ascii="Arial" w:hAnsi="Arial" w:cs="Arial"/>
                <w:b/>
                <w:sz w:val="24"/>
                <w:szCs w:val="24"/>
              </w:rPr>
              <w:t>Summary</w:t>
            </w:r>
          </w:p>
        </w:tc>
        <w:tc>
          <w:tcPr>
            <w:tcW w:w="2858" w:type="dxa"/>
            <w:tcBorders>
              <w:bottom w:val="single" w:sz="4" w:space="0" w:color="auto"/>
            </w:tcBorders>
          </w:tcPr>
          <w:p w14:paraId="56E7E839" w14:textId="01DBD6B4" w:rsidR="00384DC0" w:rsidRPr="008F3112" w:rsidRDefault="008820B6" w:rsidP="00B233BF">
            <w:pPr>
              <w:jc w:val="center"/>
              <w:rPr>
                <w:rFonts w:ascii="Arial" w:hAnsi="Arial" w:cs="Arial"/>
                <w:b/>
                <w:sz w:val="24"/>
                <w:szCs w:val="24"/>
              </w:rPr>
            </w:pPr>
            <w:r>
              <w:rPr>
                <w:rFonts w:ascii="Arial" w:hAnsi="Arial" w:cs="Arial"/>
                <w:b/>
                <w:sz w:val="24"/>
                <w:szCs w:val="24"/>
              </w:rPr>
              <w:t xml:space="preserve">Council </w:t>
            </w:r>
            <w:r w:rsidR="00384DC0" w:rsidRPr="008F3112">
              <w:rPr>
                <w:rFonts w:ascii="Arial" w:hAnsi="Arial" w:cs="Arial"/>
                <w:b/>
                <w:sz w:val="24"/>
                <w:szCs w:val="24"/>
              </w:rPr>
              <w:t>Re</w:t>
            </w:r>
            <w:r w:rsidR="005F08B2">
              <w:rPr>
                <w:rFonts w:ascii="Arial" w:hAnsi="Arial" w:cs="Arial"/>
                <w:b/>
                <w:sz w:val="24"/>
                <w:szCs w:val="24"/>
              </w:rPr>
              <w:t>sponse</w:t>
            </w:r>
          </w:p>
        </w:tc>
      </w:tr>
      <w:tr w:rsidR="00CB0F77" w:rsidRPr="00E42772" w14:paraId="049F3EEA" w14:textId="77777777" w:rsidTr="00E3005E">
        <w:trPr>
          <w:trHeight w:val="1727"/>
        </w:trPr>
        <w:tc>
          <w:tcPr>
            <w:tcW w:w="1705" w:type="dxa"/>
            <w:shd w:val="clear" w:color="auto" w:fill="E2EFD9" w:themeFill="accent6" w:themeFillTint="33"/>
          </w:tcPr>
          <w:p w14:paraId="4175386B" w14:textId="7969B245" w:rsidR="008C3DF6" w:rsidRDefault="00122817" w:rsidP="00EA47E4">
            <w:pPr>
              <w:spacing w:before="40" w:after="40"/>
              <w:rPr>
                <w:rFonts w:ascii="Arial" w:hAnsi="Arial" w:cs="Arial"/>
                <w:sz w:val="20"/>
                <w:szCs w:val="20"/>
              </w:rPr>
            </w:pPr>
            <w:r>
              <w:rPr>
                <w:rFonts w:ascii="Arial" w:hAnsi="Arial" w:cs="Arial"/>
                <w:sz w:val="20"/>
                <w:szCs w:val="20"/>
              </w:rPr>
              <w:t>Ardel Jala</w:t>
            </w:r>
          </w:p>
          <w:p w14:paraId="66E90696" w14:textId="2C3B19A5" w:rsidR="00122817" w:rsidRPr="00E42772" w:rsidRDefault="00122817" w:rsidP="00EA47E4">
            <w:pPr>
              <w:spacing w:before="40" w:after="40"/>
              <w:rPr>
                <w:rFonts w:ascii="Arial" w:hAnsi="Arial" w:cs="Arial"/>
                <w:sz w:val="20"/>
                <w:szCs w:val="20"/>
              </w:rPr>
            </w:pPr>
            <w:r>
              <w:rPr>
                <w:rFonts w:ascii="Arial" w:hAnsi="Arial" w:cs="Arial"/>
                <w:sz w:val="20"/>
                <w:szCs w:val="20"/>
              </w:rPr>
              <w:t>City of Seattle</w:t>
            </w:r>
          </w:p>
          <w:p w14:paraId="756AEB99" w14:textId="77777777" w:rsidR="001102DE" w:rsidRPr="00E42772" w:rsidRDefault="001102DE" w:rsidP="00EA47E4">
            <w:pPr>
              <w:spacing w:before="40" w:after="40"/>
              <w:rPr>
                <w:rFonts w:ascii="Arial" w:hAnsi="Arial" w:cs="Arial"/>
                <w:sz w:val="20"/>
                <w:szCs w:val="20"/>
              </w:rPr>
            </w:pPr>
          </w:p>
          <w:p w14:paraId="21DD394E" w14:textId="0DFA9848" w:rsidR="001102DE" w:rsidRPr="00E42772" w:rsidRDefault="00C44C73" w:rsidP="001102DE">
            <w:pPr>
              <w:spacing w:before="40" w:after="40"/>
              <w:rPr>
                <w:rFonts w:ascii="Arial" w:hAnsi="Arial" w:cs="Arial"/>
                <w:sz w:val="20"/>
                <w:szCs w:val="20"/>
              </w:rPr>
            </w:pPr>
            <w:r>
              <w:rPr>
                <w:rFonts w:ascii="Arial" w:hAnsi="Arial" w:cs="Arial"/>
                <w:sz w:val="20"/>
                <w:szCs w:val="20"/>
              </w:rPr>
              <w:t>10/1</w:t>
            </w:r>
            <w:r w:rsidR="00122817">
              <w:rPr>
                <w:rFonts w:ascii="Arial" w:hAnsi="Arial" w:cs="Arial"/>
                <w:sz w:val="20"/>
                <w:szCs w:val="20"/>
              </w:rPr>
              <w:t>3</w:t>
            </w:r>
            <w:r>
              <w:rPr>
                <w:rFonts w:ascii="Arial" w:hAnsi="Arial" w:cs="Arial"/>
                <w:sz w:val="20"/>
                <w:szCs w:val="20"/>
              </w:rPr>
              <w:t>/2022</w:t>
            </w:r>
          </w:p>
          <w:p w14:paraId="365BD985" w14:textId="77777777" w:rsidR="00D974C8" w:rsidRDefault="00D974C8" w:rsidP="001102DE">
            <w:pPr>
              <w:spacing w:before="40" w:after="40"/>
              <w:rPr>
                <w:rFonts w:ascii="Arial" w:hAnsi="Arial" w:cs="Arial"/>
                <w:sz w:val="20"/>
                <w:szCs w:val="20"/>
              </w:rPr>
            </w:pPr>
          </w:p>
          <w:p w14:paraId="4FBB22DA" w14:textId="0B9FD829" w:rsidR="001102DE" w:rsidRPr="00E42772" w:rsidRDefault="001102DE" w:rsidP="001102DE">
            <w:pPr>
              <w:spacing w:before="40" w:after="40"/>
              <w:rPr>
                <w:rFonts w:ascii="Arial" w:hAnsi="Arial" w:cs="Arial"/>
                <w:sz w:val="20"/>
                <w:szCs w:val="20"/>
              </w:rPr>
            </w:pPr>
            <w:r w:rsidRPr="00E42772">
              <w:rPr>
                <w:rFonts w:ascii="Arial" w:hAnsi="Arial" w:cs="Arial"/>
                <w:sz w:val="20"/>
                <w:szCs w:val="20"/>
              </w:rPr>
              <w:t>Written Testimony</w:t>
            </w:r>
            <w:r w:rsidR="00D974C8">
              <w:rPr>
                <w:rFonts w:ascii="Arial" w:hAnsi="Arial" w:cs="Arial"/>
                <w:sz w:val="20"/>
                <w:szCs w:val="20"/>
              </w:rPr>
              <w:t xml:space="preserve"> with proposed </w:t>
            </w:r>
            <w:hyperlink r:id="rId7" w:history="1">
              <w:r w:rsidR="00D974C8" w:rsidRPr="00122817">
                <w:rPr>
                  <w:rStyle w:val="Hyperlink"/>
                  <w:rFonts w:ascii="Arial" w:hAnsi="Arial" w:cs="Arial"/>
                  <w:sz w:val="20"/>
                  <w:szCs w:val="20"/>
                </w:rPr>
                <w:t>modification</w:t>
              </w:r>
            </w:hyperlink>
          </w:p>
        </w:tc>
        <w:tc>
          <w:tcPr>
            <w:tcW w:w="1246" w:type="dxa"/>
            <w:shd w:val="clear" w:color="auto" w:fill="E2EFD9" w:themeFill="accent6" w:themeFillTint="33"/>
            <w:vAlign w:val="center"/>
          </w:tcPr>
          <w:p w14:paraId="5B157CAF" w14:textId="641FF06A" w:rsidR="008C3DF6" w:rsidRPr="00E42772" w:rsidRDefault="00C44C73" w:rsidP="00325059">
            <w:pPr>
              <w:spacing w:before="40" w:after="40"/>
              <w:jc w:val="center"/>
              <w:rPr>
                <w:rFonts w:ascii="Arial" w:hAnsi="Arial" w:cs="Arial"/>
                <w:sz w:val="20"/>
                <w:szCs w:val="20"/>
              </w:rPr>
            </w:pPr>
            <w:r>
              <w:rPr>
                <w:rFonts w:ascii="Arial" w:hAnsi="Arial" w:cs="Arial"/>
                <w:sz w:val="20"/>
                <w:szCs w:val="20"/>
              </w:rPr>
              <w:t>Modify</w:t>
            </w:r>
          </w:p>
        </w:tc>
        <w:tc>
          <w:tcPr>
            <w:tcW w:w="4986" w:type="dxa"/>
            <w:shd w:val="clear" w:color="auto" w:fill="E2EFD9" w:themeFill="accent6" w:themeFillTint="33"/>
          </w:tcPr>
          <w:p w14:paraId="7E714B69" w14:textId="35EB8C13" w:rsidR="00122817" w:rsidRDefault="00BE0B9A" w:rsidP="00122817">
            <w:pPr>
              <w:pStyle w:val="Default"/>
              <w:spacing w:before="120" w:after="40"/>
              <w:rPr>
                <w:rFonts w:ascii="Arial" w:hAnsi="Arial" w:cs="Arial"/>
                <w:sz w:val="20"/>
                <w:szCs w:val="20"/>
              </w:rPr>
            </w:pPr>
            <w:r w:rsidRPr="00E42772">
              <w:rPr>
                <w:rFonts w:ascii="Arial" w:hAnsi="Arial" w:cs="Arial"/>
                <w:b/>
                <w:bCs/>
                <w:sz w:val="20"/>
                <w:szCs w:val="20"/>
              </w:rPr>
              <w:t xml:space="preserve">Section </w:t>
            </w:r>
            <w:r w:rsidR="00122817">
              <w:rPr>
                <w:rFonts w:ascii="Arial" w:hAnsi="Arial" w:cs="Arial"/>
                <w:b/>
                <w:bCs/>
                <w:sz w:val="20"/>
                <w:szCs w:val="20"/>
              </w:rPr>
              <w:t>401.4 (Proposal 21-GP2-055)</w:t>
            </w:r>
            <w:r w:rsidRPr="00E42772">
              <w:rPr>
                <w:rFonts w:ascii="Arial" w:hAnsi="Arial" w:cs="Arial"/>
                <w:b/>
                <w:bCs/>
                <w:sz w:val="20"/>
                <w:szCs w:val="20"/>
              </w:rPr>
              <w:t>:</w:t>
            </w:r>
            <w:r w:rsidRPr="00E42772">
              <w:rPr>
                <w:rFonts w:ascii="Arial" w:hAnsi="Arial" w:cs="Arial"/>
                <w:sz w:val="20"/>
                <w:szCs w:val="20"/>
              </w:rPr>
              <w:t xml:space="preserve"> </w:t>
            </w:r>
            <w:r w:rsidR="00122817" w:rsidRPr="00122817">
              <w:rPr>
                <w:rFonts w:ascii="Arial" w:hAnsi="Arial" w:cs="Arial"/>
                <w:sz w:val="20"/>
                <w:szCs w:val="20"/>
              </w:rPr>
              <w:t>The original intent of proposal 21-GP2-055 was to allow the reuse of existing foundations</w:t>
            </w:r>
            <w:r w:rsidR="00122817">
              <w:rPr>
                <w:rFonts w:ascii="Arial" w:hAnsi="Arial" w:cs="Arial"/>
                <w:sz w:val="20"/>
                <w:szCs w:val="20"/>
              </w:rPr>
              <w:t xml:space="preserve">, </w:t>
            </w:r>
            <w:r w:rsidR="00122817" w:rsidRPr="00122817">
              <w:rPr>
                <w:rFonts w:ascii="Arial" w:hAnsi="Arial" w:cs="Arial"/>
                <w:sz w:val="20"/>
                <w:szCs w:val="20"/>
              </w:rPr>
              <w:t xml:space="preserve">where approved by the Code Official. </w:t>
            </w:r>
            <w:r w:rsidR="00122817">
              <w:rPr>
                <w:rFonts w:ascii="Arial" w:hAnsi="Arial" w:cs="Arial"/>
                <w:sz w:val="20"/>
                <w:szCs w:val="20"/>
              </w:rPr>
              <w:t xml:space="preserve">This comment with proposed modification </w:t>
            </w:r>
            <w:r w:rsidR="00122817" w:rsidRPr="00122817">
              <w:rPr>
                <w:rFonts w:ascii="Arial" w:hAnsi="Arial" w:cs="Arial"/>
                <w:sz w:val="20"/>
                <w:szCs w:val="20"/>
              </w:rPr>
              <w:t>seek</w:t>
            </w:r>
            <w:r w:rsidR="00122817">
              <w:rPr>
                <w:rFonts w:ascii="Arial" w:hAnsi="Arial" w:cs="Arial"/>
                <w:sz w:val="20"/>
                <w:szCs w:val="20"/>
              </w:rPr>
              <w:t>s</w:t>
            </w:r>
            <w:r w:rsidR="00122817" w:rsidRPr="00122817">
              <w:rPr>
                <w:rFonts w:ascii="Arial" w:hAnsi="Arial" w:cs="Arial"/>
                <w:sz w:val="20"/>
                <w:szCs w:val="20"/>
              </w:rPr>
              <w:t xml:space="preserve"> to make </w:t>
            </w:r>
            <w:r w:rsidR="00122817">
              <w:rPr>
                <w:rFonts w:ascii="Arial" w:hAnsi="Arial" w:cs="Arial"/>
                <w:sz w:val="20"/>
                <w:szCs w:val="20"/>
              </w:rPr>
              <w:t xml:space="preserve">the </w:t>
            </w:r>
            <w:r w:rsidR="00122817" w:rsidRPr="00122817">
              <w:rPr>
                <w:rFonts w:ascii="Arial" w:hAnsi="Arial" w:cs="Arial"/>
                <w:sz w:val="20"/>
                <w:szCs w:val="20"/>
              </w:rPr>
              <w:t>language</w:t>
            </w:r>
            <w:r w:rsidR="00122817">
              <w:rPr>
                <w:rFonts w:ascii="Arial" w:hAnsi="Arial" w:cs="Arial"/>
                <w:sz w:val="20"/>
                <w:szCs w:val="20"/>
              </w:rPr>
              <w:t xml:space="preserve"> in Section 401.4 </w:t>
            </w:r>
            <w:r w:rsidR="00122817" w:rsidRPr="00122817">
              <w:rPr>
                <w:rFonts w:ascii="Arial" w:hAnsi="Arial" w:cs="Arial"/>
                <w:sz w:val="20"/>
                <w:szCs w:val="20"/>
              </w:rPr>
              <w:t>more user friendly</w:t>
            </w:r>
            <w:r w:rsidR="00122817">
              <w:rPr>
                <w:rFonts w:ascii="Arial" w:hAnsi="Arial" w:cs="Arial"/>
                <w:sz w:val="20"/>
                <w:szCs w:val="20"/>
              </w:rPr>
              <w:t>.</w:t>
            </w:r>
          </w:p>
          <w:p w14:paraId="6AAD4100" w14:textId="28699291" w:rsidR="00E26375" w:rsidRPr="00E42772" w:rsidRDefault="00D974C8" w:rsidP="00122817">
            <w:pPr>
              <w:pStyle w:val="Default"/>
              <w:spacing w:before="120" w:after="40"/>
              <w:rPr>
                <w:rFonts w:ascii="Arial" w:hAnsi="Arial" w:cs="Arial"/>
                <w:sz w:val="20"/>
                <w:szCs w:val="20"/>
              </w:rPr>
            </w:pPr>
            <w:r>
              <w:rPr>
                <w:rFonts w:ascii="Arial" w:hAnsi="Arial" w:cs="Arial"/>
                <w:sz w:val="20"/>
                <w:szCs w:val="20"/>
              </w:rPr>
              <w:t xml:space="preserve">There is no intended change in regulatory effect, and no change to the preliminary cost benefit analysis.  </w:t>
            </w:r>
          </w:p>
        </w:tc>
        <w:tc>
          <w:tcPr>
            <w:tcW w:w="2858" w:type="dxa"/>
            <w:shd w:val="clear" w:color="auto" w:fill="E2EFD9" w:themeFill="accent6" w:themeFillTint="33"/>
          </w:tcPr>
          <w:p w14:paraId="13A38E85" w14:textId="7EE5C7E2" w:rsidR="008C3DF6" w:rsidRPr="00E42772" w:rsidRDefault="00D974C8" w:rsidP="00F87F0F">
            <w:pPr>
              <w:spacing w:before="40" w:after="40"/>
              <w:rPr>
                <w:rFonts w:ascii="Arial" w:hAnsi="Arial" w:cs="Arial"/>
                <w:sz w:val="20"/>
                <w:szCs w:val="20"/>
              </w:rPr>
            </w:pPr>
            <w:r w:rsidRPr="00D974C8">
              <w:rPr>
                <w:rFonts w:ascii="Arial" w:hAnsi="Arial" w:cs="Arial"/>
                <w:sz w:val="20"/>
                <w:szCs w:val="20"/>
              </w:rPr>
              <w:t xml:space="preserve">The </w:t>
            </w:r>
            <w:r>
              <w:rPr>
                <w:rFonts w:ascii="Arial" w:hAnsi="Arial" w:cs="Arial"/>
                <w:sz w:val="20"/>
                <w:szCs w:val="20"/>
              </w:rPr>
              <w:t xml:space="preserve">Council </w:t>
            </w:r>
            <w:r w:rsidR="00122817">
              <w:rPr>
                <w:rFonts w:ascii="Arial" w:hAnsi="Arial" w:cs="Arial"/>
                <w:sz w:val="20"/>
                <w:szCs w:val="20"/>
              </w:rPr>
              <w:t xml:space="preserve">took into consideration the </w:t>
            </w:r>
            <w:r>
              <w:rPr>
                <w:rFonts w:ascii="Arial" w:hAnsi="Arial" w:cs="Arial"/>
                <w:sz w:val="20"/>
                <w:szCs w:val="20"/>
              </w:rPr>
              <w:t xml:space="preserve">proposed modification and adopted the modified proposal. </w:t>
            </w:r>
          </w:p>
        </w:tc>
      </w:tr>
      <w:tr w:rsidR="00B90869" w:rsidRPr="00E42772" w14:paraId="6FE04314" w14:textId="77777777" w:rsidTr="00E3005E">
        <w:trPr>
          <w:trHeight w:val="557"/>
        </w:trPr>
        <w:tc>
          <w:tcPr>
            <w:tcW w:w="1705" w:type="dxa"/>
            <w:shd w:val="clear" w:color="auto" w:fill="E2EFD9" w:themeFill="accent6" w:themeFillTint="33"/>
          </w:tcPr>
          <w:p w14:paraId="6DA72295" w14:textId="10BFA380" w:rsidR="00D165C3" w:rsidRDefault="00122817" w:rsidP="00B90869">
            <w:pPr>
              <w:spacing w:before="40" w:after="40"/>
              <w:rPr>
                <w:rFonts w:ascii="Arial" w:hAnsi="Arial" w:cs="Arial"/>
                <w:sz w:val="20"/>
                <w:szCs w:val="20"/>
              </w:rPr>
            </w:pPr>
            <w:r w:rsidRPr="00122817">
              <w:rPr>
                <w:rFonts w:ascii="Arial" w:hAnsi="Arial" w:cs="Arial"/>
                <w:sz w:val="20"/>
                <w:szCs w:val="20"/>
              </w:rPr>
              <w:t xml:space="preserve">Nathalie </w:t>
            </w:r>
            <w:proofErr w:type="spellStart"/>
            <w:r w:rsidRPr="00122817">
              <w:rPr>
                <w:rFonts w:ascii="Arial" w:hAnsi="Arial" w:cs="Arial"/>
                <w:sz w:val="20"/>
                <w:szCs w:val="20"/>
              </w:rPr>
              <w:t>Boeholt</w:t>
            </w:r>
            <w:proofErr w:type="spellEnd"/>
            <w:r>
              <w:rPr>
                <w:rFonts w:ascii="Arial" w:hAnsi="Arial" w:cs="Arial"/>
                <w:sz w:val="20"/>
                <w:szCs w:val="20"/>
              </w:rPr>
              <w:t xml:space="preserve"> WABO</w:t>
            </w:r>
            <w:r w:rsidRPr="00122817">
              <w:rPr>
                <w:rFonts w:ascii="Arial" w:hAnsi="Arial" w:cs="Arial"/>
                <w:sz w:val="20"/>
                <w:szCs w:val="20"/>
              </w:rPr>
              <w:cr/>
            </w:r>
          </w:p>
          <w:p w14:paraId="5C4E8D63" w14:textId="308CADDC" w:rsidR="00B90869" w:rsidRPr="00E42772" w:rsidRDefault="00E3005E" w:rsidP="00B90869">
            <w:pPr>
              <w:spacing w:before="40" w:after="40"/>
              <w:rPr>
                <w:rFonts w:ascii="Arial" w:hAnsi="Arial" w:cs="Arial"/>
                <w:sz w:val="20"/>
                <w:szCs w:val="20"/>
              </w:rPr>
            </w:pPr>
            <w:r>
              <w:rPr>
                <w:rFonts w:ascii="Arial" w:hAnsi="Arial" w:cs="Arial"/>
                <w:sz w:val="20"/>
                <w:szCs w:val="20"/>
              </w:rPr>
              <w:t>10/13/2022</w:t>
            </w:r>
          </w:p>
          <w:p w14:paraId="15D1319E" w14:textId="0A98F074" w:rsidR="00B90869" w:rsidRPr="00E42772" w:rsidRDefault="00C033B5" w:rsidP="00B90869">
            <w:pPr>
              <w:spacing w:before="40" w:after="40"/>
              <w:rPr>
                <w:rFonts w:ascii="Arial" w:hAnsi="Arial" w:cs="Arial"/>
                <w:sz w:val="20"/>
                <w:szCs w:val="20"/>
              </w:rPr>
            </w:pPr>
            <w:r>
              <w:rPr>
                <w:rFonts w:ascii="Arial" w:hAnsi="Arial" w:cs="Arial"/>
                <w:sz w:val="20"/>
                <w:szCs w:val="20"/>
              </w:rPr>
              <w:t>Oral and w</w:t>
            </w:r>
            <w:r w:rsidR="00E3005E" w:rsidRPr="00E3005E">
              <w:rPr>
                <w:rFonts w:ascii="Arial" w:hAnsi="Arial" w:cs="Arial"/>
                <w:sz w:val="20"/>
                <w:szCs w:val="20"/>
              </w:rPr>
              <w:t xml:space="preserve">ritten </w:t>
            </w:r>
            <w:r>
              <w:rPr>
                <w:rFonts w:ascii="Arial" w:hAnsi="Arial" w:cs="Arial"/>
                <w:sz w:val="20"/>
                <w:szCs w:val="20"/>
              </w:rPr>
              <w:t>t</w:t>
            </w:r>
            <w:r w:rsidR="00E3005E" w:rsidRPr="00E3005E">
              <w:rPr>
                <w:rFonts w:ascii="Arial" w:hAnsi="Arial" w:cs="Arial"/>
                <w:sz w:val="20"/>
                <w:szCs w:val="20"/>
              </w:rPr>
              <w:t xml:space="preserve">estimony with proposed </w:t>
            </w:r>
            <w:hyperlink r:id="rId8" w:history="1">
              <w:r w:rsidR="00E3005E" w:rsidRPr="00E3005E">
                <w:rPr>
                  <w:rStyle w:val="Hyperlink"/>
                  <w:rFonts w:ascii="Arial" w:hAnsi="Arial" w:cs="Arial"/>
                  <w:sz w:val="20"/>
                  <w:szCs w:val="20"/>
                </w:rPr>
                <w:t>modification</w:t>
              </w:r>
            </w:hyperlink>
          </w:p>
        </w:tc>
        <w:tc>
          <w:tcPr>
            <w:tcW w:w="1246" w:type="dxa"/>
            <w:shd w:val="clear" w:color="auto" w:fill="E2EFD9" w:themeFill="accent6" w:themeFillTint="33"/>
            <w:vAlign w:val="center"/>
          </w:tcPr>
          <w:p w14:paraId="1569464E" w14:textId="3986C5EF" w:rsidR="00B90869" w:rsidRPr="00E42772" w:rsidRDefault="00E3005E" w:rsidP="00B90869">
            <w:pPr>
              <w:spacing w:before="40" w:after="40"/>
              <w:jc w:val="center"/>
              <w:rPr>
                <w:rFonts w:ascii="Arial" w:hAnsi="Arial" w:cs="Arial"/>
                <w:sz w:val="20"/>
                <w:szCs w:val="20"/>
              </w:rPr>
            </w:pPr>
            <w:r>
              <w:rPr>
                <w:rFonts w:ascii="Arial" w:hAnsi="Arial" w:cs="Arial"/>
                <w:sz w:val="20"/>
                <w:szCs w:val="20"/>
              </w:rPr>
              <w:t>Modify</w:t>
            </w:r>
          </w:p>
        </w:tc>
        <w:tc>
          <w:tcPr>
            <w:tcW w:w="4986" w:type="dxa"/>
            <w:shd w:val="clear" w:color="auto" w:fill="E2EFD9" w:themeFill="accent6" w:themeFillTint="33"/>
          </w:tcPr>
          <w:p w14:paraId="4CC1B57D" w14:textId="4A05C4D8" w:rsidR="00E3005E" w:rsidRPr="00E3005E" w:rsidRDefault="00E3005E" w:rsidP="00E3005E">
            <w:pPr>
              <w:autoSpaceDE w:val="0"/>
              <w:autoSpaceDN w:val="0"/>
              <w:adjustRightInd w:val="0"/>
              <w:rPr>
                <w:rFonts w:ascii="Arial" w:hAnsi="Arial" w:cs="Arial"/>
                <w:sz w:val="20"/>
                <w:szCs w:val="20"/>
              </w:rPr>
            </w:pPr>
            <w:r>
              <w:rPr>
                <w:rFonts w:ascii="Arial" w:hAnsi="Arial" w:cs="Arial"/>
                <w:b/>
                <w:bCs/>
                <w:sz w:val="20"/>
                <w:szCs w:val="20"/>
              </w:rPr>
              <w:t xml:space="preserve">Sections 503.13 &amp; 805.4 (Proposal </w:t>
            </w:r>
            <w:r w:rsidRPr="00E3005E">
              <w:rPr>
                <w:rFonts w:ascii="Arial" w:hAnsi="Arial" w:cs="Arial"/>
                <w:b/>
                <w:bCs/>
                <w:sz w:val="20"/>
                <w:szCs w:val="20"/>
              </w:rPr>
              <w:t>21-GP2-056</w:t>
            </w:r>
            <w:r>
              <w:rPr>
                <w:rFonts w:ascii="Arial" w:hAnsi="Arial" w:cs="Arial"/>
                <w:b/>
                <w:bCs/>
                <w:sz w:val="20"/>
                <w:szCs w:val="20"/>
              </w:rPr>
              <w:t>)</w:t>
            </w:r>
            <w:r w:rsidR="00B90869" w:rsidRPr="00E42772">
              <w:rPr>
                <w:rFonts w:ascii="Arial" w:hAnsi="Arial" w:cs="Arial"/>
                <w:b/>
                <w:bCs/>
                <w:sz w:val="20"/>
                <w:szCs w:val="20"/>
              </w:rPr>
              <w:t>:</w:t>
            </w:r>
            <w:r w:rsidR="00B90869" w:rsidRPr="00E42772">
              <w:rPr>
                <w:rFonts w:ascii="Arial" w:hAnsi="Arial" w:cs="Arial"/>
                <w:sz w:val="20"/>
                <w:szCs w:val="20"/>
              </w:rPr>
              <w:t xml:space="preserve"> </w:t>
            </w:r>
            <w:r>
              <w:rPr>
                <w:rFonts w:ascii="Arial" w:hAnsi="Arial" w:cs="Arial"/>
                <w:sz w:val="20"/>
                <w:szCs w:val="20"/>
              </w:rPr>
              <w:t>The public comment c</w:t>
            </w:r>
            <w:r w:rsidRPr="00E3005E">
              <w:rPr>
                <w:rFonts w:ascii="Arial" w:hAnsi="Arial" w:cs="Arial"/>
                <w:sz w:val="20"/>
                <w:szCs w:val="20"/>
              </w:rPr>
              <w:t>larifies the applicability</w:t>
            </w:r>
            <w:r>
              <w:rPr>
                <w:rFonts w:ascii="Arial" w:hAnsi="Arial" w:cs="Arial"/>
                <w:sz w:val="20"/>
                <w:szCs w:val="20"/>
              </w:rPr>
              <w:t xml:space="preserve"> </w:t>
            </w:r>
            <w:r w:rsidRPr="00E3005E">
              <w:rPr>
                <w:rFonts w:ascii="Arial" w:hAnsi="Arial" w:cs="Arial"/>
                <w:sz w:val="20"/>
                <w:szCs w:val="20"/>
              </w:rPr>
              <w:t>of th</w:t>
            </w:r>
            <w:r>
              <w:rPr>
                <w:rFonts w:ascii="Arial" w:hAnsi="Arial" w:cs="Arial"/>
                <w:sz w:val="20"/>
                <w:szCs w:val="20"/>
              </w:rPr>
              <w:t xml:space="preserve">is modified </w:t>
            </w:r>
            <w:r w:rsidRPr="00E3005E">
              <w:rPr>
                <w:rFonts w:ascii="Arial" w:hAnsi="Arial" w:cs="Arial"/>
                <w:sz w:val="20"/>
                <w:szCs w:val="20"/>
              </w:rPr>
              <w:t>proposal and overall improves it. It reflects</w:t>
            </w:r>
          </w:p>
          <w:p w14:paraId="54078DB7" w14:textId="251D5684" w:rsidR="00B90869" w:rsidRDefault="00E3005E" w:rsidP="00E3005E">
            <w:pPr>
              <w:autoSpaceDE w:val="0"/>
              <w:autoSpaceDN w:val="0"/>
              <w:adjustRightInd w:val="0"/>
              <w:rPr>
                <w:rFonts w:ascii="Arial" w:hAnsi="Arial" w:cs="Arial"/>
                <w:sz w:val="20"/>
                <w:szCs w:val="20"/>
              </w:rPr>
            </w:pPr>
            <w:r w:rsidRPr="00E3005E">
              <w:rPr>
                <w:rFonts w:ascii="Arial" w:hAnsi="Arial" w:cs="Arial"/>
                <w:sz w:val="20"/>
                <w:szCs w:val="20"/>
              </w:rPr>
              <w:t>comments heard from the ICC committee</w:t>
            </w:r>
            <w:r>
              <w:rPr>
                <w:rFonts w:ascii="Arial" w:hAnsi="Arial" w:cs="Arial"/>
                <w:sz w:val="20"/>
                <w:szCs w:val="20"/>
              </w:rPr>
              <w:t xml:space="preserve"> </w:t>
            </w:r>
            <w:r w:rsidRPr="00E3005E">
              <w:rPr>
                <w:rFonts w:ascii="Arial" w:hAnsi="Arial" w:cs="Arial"/>
                <w:sz w:val="20"/>
                <w:szCs w:val="20"/>
              </w:rPr>
              <w:t>during the April 2022 Committee Action</w:t>
            </w:r>
            <w:r>
              <w:rPr>
                <w:rFonts w:ascii="Arial" w:hAnsi="Arial" w:cs="Arial"/>
                <w:sz w:val="20"/>
                <w:szCs w:val="20"/>
              </w:rPr>
              <w:t xml:space="preserve"> </w:t>
            </w:r>
            <w:r w:rsidRPr="00E3005E">
              <w:rPr>
                <w:rFonts w:ascii="Arial" w:hAnsi="Arial" w:cs="Arial"/>
                <w:sz w:val="20"/>
                <w:szCs w:val="20"/>
              </w:rPr>
              <w:t>Hearings in Rochester</w:t>
            </w:r>
            <w:r>
              <w:rPr>
                <w:rFonts w:ascii="Arial" w:hAnsi="Arial" w:cs="Arial"/>
                <w:sz w:val="20"/>
                <w:szCs w:val="20"/>
              </w:rPr>
              <w:t>,</w:t>
            </w:r>
            <w:r w:rsidRPr="00E3005E">
              <w:rPr>
                <w:rFonts w:ascii="Arial" w:hAnsi="Arial" w:cs="Arial"/>
                <w:sz w:val="20"/>
                <w:szCs w:val="20"/>
              </w:rPr>
              <w:t xml:space="preserve"> NY</w:t>
            </w:r>
            <w:r>
              <w:rPr>
                <w:rFonts w:ascii="Arial" w:hAnsi="Arial" w:cs="Arial"/>
                <w:sz w:val="20"/>
                <w:szCs w:val="20"/>
              </w:rPr>
              <w:t>,</w:t>
            </w:r>
            <w:r w:rsidRPr="00E3005E">
              <w:rPr>
                <w:rFonts w:ascii="Arial" w:hAnsi="Arial" w:cs="Arial"/>
                <w:sz w:val="20"/>
                <w:szCs w:val="20"/>
              </w:rPr>
              <w:t xml:space="preserve"> and includes another</w:t>
            </w:r>
            <w:r>
              <w:rPr>
                <w:rFonts w:ascii="Arial" w:hAnsi="Arial" w:cs="Arial"/>
                <w:sz w:val="20"/>
                <w:szCs w:val="20"/>
              </w:rPr>
              <w:t xml:space="preserve"> </w:t>
            </w:r>
            <w:r w:rsidRPr="00E3005E">
              <w:rPr>
                <w:rFonts w:ascii="Arial" w:hAnsi="Arial" w:cs="Arial"/>
                <w:sz w:val="20"/>
                <w:szCs w:val="20"/>
              </w:rPr>
              <w:t xml:space="preserve">IEBC change (EB68) that </w:t>
            </w:r>
            <w:r w:rsidR="000F51C0">
              <w:rPr>
                <w:rFonts w:ascii="Arial" w:hAnsi="Arial" w:cs="Arial"/>
                <w:sz w:val="20"/>
                <w:szCs w:val="20"/>
              </w:rPr>
              <w:t>is proposed for</w:t>
            </w:r>
            <w:r>
              <w:rPr>
                <w:rFonts w:ascii="Arial" w:hAnsi="Arial" w:cs="Arial"/>
                <w:sz w:val="20"/>
                <w:szCs w:val="20"/>
              </w:rPr>
              <w:t xml:space="preserve"> </w:t>
            </w:r>
            <w:r w:rsidRPr="00E3005E">
              <w:rPr>
                <w:rFonts w:ascii="Arial" w:hAnsi="Arial" w:cs="Arial"/>
                <w:sz w:val="20"/>
                <w:szCs w:val="20"/>
              </w:rPr>
              <w:t>incorporat</w:t>
            </w:r>
            <w:r w:rsidR="000F51C0">
              <w:rPr>
                <w:rFonts w:ascii="Arial" w:hAnsi="Arial" w:cs="Arial"/>
                <w:sz w:val="20"/>
                <w:szCs w:val="20"/>
              </w:rPr>
              <w:t>ion</w:t>
            </w:r>
            <w:r w:rsidRPr="00E3005E">
              <w:rPr>
                <w:rFonts w:ascii="Arial" w:hAnsi="Arial" w:cs="Arial"/>
                <w:sz w:val="20"/>
                <w:szCs w:val="20"/>
              </w:rPr>
              <w:t xml:space="preserve"> in the 2024 IEBC.</w:t>
            </w:r>
          </w:p>
          <w:p w14:paraId="34924E0A" w14:textId="77777777" w:rsidR="00E3005E" w:rsidRDefault="00E3005E" w:rsidP="00E3005E">
            <w:pPr>
              <w:autoSpaceDE w:val="0"/>
              <w:autoSpaceDN w:val="0"/>
              <w:adjustRightInd w:val="0"/>
              <w:rPr>
                <w:rFonts w:ascii="Arial" w:hAnsi="Arial" w:cs="Arial"/>
                <w:sz w:val="20"/>
                <w:szCs w:val="20"/>
              </w:rPr>
            </w:pPr>
          </w:p>
          <w:p w14:paraId="02BAD1E4" w14:textId="6BC8965E" w:rsidR="00E3005E" w:rsidRPr="00E42772" w:rsidRDefault="00E3005E" w:rsidP="00E3005E">
            <w:pPr>
              <w:autoSpaceDE w:val="0"/>
              <w:autoSpaceDN w:val="0"/>
              <w:adjustRightInd w:val="0"/>
              <w:rPr>
                <w:rFonts w:ascii="Arial" w:hAnsi="Arial" w:cs="Arial"/>
                <w:b/>
                <w:bCs/>
                <w:sz w:val="20"/>
                <w:szCs w:val="20"/>
              </w:rPr>
            </w:pPr>
            <w:r>
              <w:rPr>
                <w:rFonts w:ascii="Arial" w:hAnsi="Arial" w:cs="Arial"/>
                <w:sz w:val="20"/>
                <w:szCs w:val="20"/>
              </w:rPr>
              <w:t xml:space="preserve">There is no intended change in regulatory effect, and no change to the preliminary cost benefit analysis.  </w:t>
            </w:r>
          </w:p>
        </w:tc>
        <w:tc>
          <w:tcPr>
            <w:tcW w:w="2858" w:type="dxa"/>
            <w:shd w:val="clear" w:color="auto" w:fill="E2EFD9" w:themeFill="accent6" w:themeFillTint="33"/>
          </w:tcPr>
          <w:p w14:paraId="5412CA1B" w14:textId="2331D4C3" w:rsidR="00B90869" w:rsidRPr="00E42772" w:rsidRDefault="00E3005E" w:rsidP="00B90869">
            <w:pPr>
              <w:rPr>
                <w:rFonts w:ascii="Arial" w:hAnsi="Arial" w:cs="Arial"/>
                <w:sz w:val="20"/>
                <w:szCs w:val="20"/>
              </w:rPr>
            </w:pPr>
            <w:r w:rsidRPr="00D974C8">
              <w:rPr>
                <w:rFonts w:ascii="Arial" w:hAnsi="Arial" w:cs="Arial"/>
                <w:sz w:val="20"/>
                <w:szCs w:val="20"/>
              </w:rPr>
              <w:t xml:space="preserve">The </w:t>
            </w:r>
            <w:r>
              <w:rPr>
                <w:rFonts w:ascii="Arial" w:hAnsi="Arial" w:cs="Arial"/>
                <w:sz w:val="20"/>
                <w:szCs w:val="20"/>
              </w:rPr>
              <w:t>Council took into consideration the proposed modification and adopted the modified proposal.</w:t>
            </w:r>
          </w:p>
        </w:tc>
      </w:tr>
      <w:tr w:rsidR="00B90869" w:rsidRPr="00E42772" w14:paraId="2062337F" w14:textId="77777777" w:rsidTr="00E3005E">
        <w:trPr>
          <w:trHeight w:val="557"/>
        </w:trPr>
        <w:tc>
          <w:tcPr>
            <w:tcW w:w="1705" w:type="dxa"/>
            <w:shd w:val="clear" w:color="auto" w:fill="E2EFD9" w:themeFill="accent6" w:themeFillTint="33"/>
          </w:tcPr>
          <w:p w14:paraId="7DB0FF91" w14:textId="07CCEAFF" w:rsidR="00E3005E" w:rsidRDefault="00E3005E" w:rsidP="00B90869">
            <w:pPr>
              <w:spacing w:before="40" w:after="40"/>
              <w:rPr>
                <w:rFonts w:ascii="Arial" w:hAnsi="Arial" w:cs="Arial"/>
                <w:sz w:val="20"/>
                <w:szCs w:val="20"/>
              </w:rPr>
            </w:pPr>
            <w:r w:rsidRPr="00E3005E">
              <w:rPr>
                <w:rFonts w:ascii="Arial" w:hAnsi="Arial" w:cs="Arial"/>
                <w:sz w:val="20"/>
                <w:szCs w:val="20"/>
              </w:rPr>
              <w:t>Chris Edmark</w:t>
            </w:r>
          </w:p>
          <w:p w14:paraId="0811DBCF" w14:textId="77777777" w:rsidR="00E3005E" w:rsidRDefault="00E3005E" w:rsidP="00B90869">
            <w:pPr>
              <w:spacing w:before="40" w:after="40"/>
              <w:rPr>
                <w:rFonts w:ascii="Arial" w:hAnsi="Arial" w:cs="Arial"/>
                <w:sz w:val="20"/>
                <w:szCs w:val="20"/>
              </w:rPr>
            </w:pPr>
            <w:r>
              <w:rPr>
                <w:rFonts w:ascii="Arial" w:hAnsi="Arial" w:cs="Arial"/>
                <w:sz w:val="20"/>
                <w:szCs w:val="20"/>
              </w:rPr>
              <w:t>Thurston County</w:t>
            </w:r>
          </w:p>
          <w:p w14:paraId="60A22E4E" w14:textId="77777777" w:rsidR="00882365" w:rsidRDefault="00882365" w:rsidP="00B90869">
            <w:pPr>
              <w:spacing w:before="40" w:after="40"/>
              <w:rPr>
                <w:rFonts w:ascii="Arial" w:hAnsi="Arial" w:cs="Arial"/>
                <w:sz w:val="20"/>
                <w:szCs w:val="20"/>
              </w:rPr>
            </w:pPr>
          </w:p>
          <w:p w14:paraId="352FD7D4" w14:textId="77777777" w:rsidR="00882365" w:rsidRDefault="00882365" w:rsidP="00B90869">
            <w:pPr>
              <w:spacing w:before="40" w:after="40"/>
              <w:rPr>
                <w:rFonts w:ascii="Arial" w:hAnsi="Arial" w:cs="Arial"/>
                <w:sz w:val="20"/>
                <w:szCs w:val="20"/>
              </w:rPr>
            </w:pPr>
            <w:r>
              <w:rPr>
                <w:rFonts w:ascii="Arial" w:hAnsi="Arial" w:cs="Arial"/>
                <w:sz w:val="20"/>
                <w:szCs w:val="20"/>
              </w:rPr>
              <w:t>10/04/2022</w:t>
            </w:r>
          </w:p>
          <w:p w14:paraId="14BAB3E9" w14:textId="5492C027" w:rsidR="00882365" w:rsidRDefault="00C033B5" w:rsidP="00B90869">
            <w:pPr>
              <w:spacing w:before="40" w:after="40"/>
              <w:rPr>
                <w:rFonts w:ascii="Arial" w:hAnsi="Arial" w:cs="Arial"/>
                <w:sz w:val="20"/>
                <w:szCs w:val="20"/>
              </w:rPr>
            </w:pPr>
            <w:r>
              <w:rPr>
                <w:rFonts w:ascii="Arial" w:hAnsi="Arial" w:cs="Arial"/>
                <w:sz w:val="20"/>
                <w:szCs w:val="20"/>
              </w:rPr>
              <w:t>Oral and w</w:t>
            </w:r>
            <w:r w:rsidR="00882365" w:rsidRPr="00882365">
              <w:rPr>
                <w:rFonts w:ascii="Arial" w:hAnsi="Arial" w:cs="Arial"/>
                <w:sz w:val="20"/>
                <w:szCs w:val="20"/>
              </w:rPr>
              <w:t xml:space="preserve">ritten </w:t>
            </w:r>
            <w:r>
              <w:rPr>
                <w:rFonts w:ascii="Arial" w:hAnsi="Arial" w:cs="Arial"/>
                <w:sz w:val="20"/>
                <w:szCs w:val="20"/>
              </w:rPr>
              <w:t>t</w:t>
            </w:r>
            <w:r w:rsidR="00882365" w:rsidRPr="00882365">
              <w:rPr>
                <w:rFonts w:ascii="Arial" w:hAnsi="Arial" w:cs="Arial"/>
                <w:sz w:val="20"/>
                <w:szCs w:val="20"/>
              </w:rPr>
              <w:t xml:space="preserve">estimony with proposed </w:t>
            </w:r>
            <w:hyperlink r:id="rId9" w:history="1">
              <w:r w:rsidR="00882365" w:rsidRPr="00882365">
                <w:rPr>
                  <w:rStyle w:val="Hyperlink"/>
                  <w:rFonts w:ascii="Arial" w:hAnsi="Arial" w:cs="Arial"/>
                  <w:sz w:val="20"/>
                  <w:szCs w:val="20"/>
                </w:rPr>
                <w:t>modification</w:t>
              </w:r>
            </w:hyperlink>
          </w:p>
          <w:p w14:paraId="2092A0E5" w14:textId="0777A9D3" w:rsidR="00882365" w:rsidRPr="00E42772" w:rsidRDefault="00882365" w:rsidP="00B90869">
            <w:pPr>
              <w:spacing w:before="40" w:after="40"/>
              <w:rPr>
                <w:rFonts w:ascii="Arial" w:hAnsi="Arial" w:cs="Arial"/>
                <w:sz w:val="20"/>
                <w:szCs w:val="20"/>
              </w:rPr>
            </w:pPr>
          </w:p>
        </w:tc>
        <w:tc>
          <w:tcPr>
            <w:tcW w:w="1246" w:type="dxa"/>
            <w:shd w:val="clear" w:color="auto" w:fill="E2EFD9" w:themeFill="accent6" w:themeFillTint="33"/>
            <w:vAlign w:val="center"/>
          </w:tcPr>
          <w:p w14:paraId="343333A7" w14:textId="029D92CE" w:rsidR="00B90869" w:rsidRPr="00E42772" w:rsidRDefault="00882365" w:rsidP="00B90869">
            <w:pPr>
              <w:spacing w:before="40" w:after="40"/>
              <w:jc w:val="center"/>
              <w:rPr>
                <w:rFonts w:ascii="Arial" w:hAnsi="Arial" w:cs="Arial"/>
                <w:sz w:val="20"/>
                <w:szCs w:val="20"/>
              </w:rPr>
            </w:pPr>
            <w:r w:rsidRPr="00882365">
              <w:rPr>
                <w:rFonts w:ascii="Arial" w:hAnsi="Arial" w:cs="Arial"/>
                <w:sz w:val="20"/>
                <w:szCs w:val="20"/>
              </w:rPr>
              <w:t>Modify</w:t>
            </w:r>
          </w:p>
        </w:tc>
        <w:tc>
          <w:tcPr>
            <w:tcW w:w="4986" w:type="dxa"/>
            <w:shd w:val="clear" w:color="auto" w:fill="E2EFD9" w:themeFill="accent6" w:themeFillTint="33"/>
          </w:tcPr>
          <w:p w14:paraId="183014A9" w14:textId="63D452AF" w:rsidR="00B90869" w:rsidRDefault="00882365" w:rsidP="00C033B5">
            <w:pPr>
              <w:autoSpaceDE w:val="0"/>
              <w:autoSpaceDN w:val="0"/>
              <w:adjustRightInd w:val="0"/>
              <w:rPr>
                <w:rFonts w:ascii="Arial" w:hAnsi="Arial" w:cs="Arial"/>
                <w:sz w:val="20"/>
                <w:szCs w:val="20"/>
              </w:rPr>
            </w:pPr>
            <w:r>
              <w:rPr>
                <w:rFonts w:ascii="Arial" w:hAnsi="Arial" w:cs="Arial"/>
                <w:b/>
                <w:bCs/>
                <w:sz w:val="20"/>
                <w:szCs w:val="20"/>
              </w:rPr>
              <w:t>Chapter 2, Definitions (</w:t>
            </w:r>
            <w:r w:rsidR="00A53419">
              <w:rPr>
                <w:rFonts w:ascii="Arial" w:hAnsi="Arial" w:cs="Arial"/>
                <w:b/>
                <w:bCs/>
                <w:sz w:val="20"/>
                <w:szCs w:val="20"/>
              </w:rPr>
              <w:t xml:space="preserve">Proposal </w:t>
            </w:r>
            <w:r w:rsidRPr="00882365">
              <w:rPr>
                <w:rFonts w:ascii="Arial" w:hAnsi="Arial" w:cs="Arial"/>
                <w:b/>
                <w:bCs/>
                <w:sz w:val="20"/>
                <w:szCs w:val="20"/>
              </w:rPr>
              <w:t>21-GP2-029</w:t>
            </w:r>
            <w:r>
              <w:rPr>
                <w:rFonts w:ascii="Arial" w:hAnsi="Arial" w:cs="Arial"/>
                <w:b/>
                <w:bCs/>
                <w:sz w:val="20"/>
                <w:szCs w:val="20"/>
              </w:rPr>
              <w:t>)</w:t>
            </w:r>
            <w:r w:rsidR="00B90869" w:rsidRPr="00E42772">
              <w:rPr>
                <w:rFonts w:ascii="Arial" w:hAnsi="Arial" w:cs="Arial"/>
                <w:b/>
                <w:bCs/>
                <w:sz w:val="20"/>
                <w:szCs w:val="20"/>
              </w:rPr>
              <w:t>:</w:t>
            </w:r>
            <w:r w:rsidR="00B90869" w:rsidRPr="00E42772">
              <w:rPr>
                <w:rFonts w:ascii="Arial" w:hAnsi="Arial" w:cs="Arial"/>
                <w:sz w:val="20"/>
                <w:szCs w:val="20"/>
              </w:rPr>
              <w:t xml:space="preserve"> </w:t>
            </w:r>
            <w:r w:rsidRPr="00882365">
              <w:rPr>
                <w:rFonts w:ascii="Arial" w:hAnsi="Arial" w:cs="Arial"/>
                <w:sz w:val="20"/>
                <w:szCs w:val="20"/>
              </w:rPr>
              <w:t>Proponent proposes modification</w:t>
            </w:r>
            <w:r w:rsidR="00C033B5">
              <w:rPr>
                <w:rFonts w:ascii="Arial" w:hAnsi="Arial" w:cs="Arial"/>
                <w:sz w:val="20"/>
                <w:szCs w:val="20"/>
              </w:rPr>
              <w:t>s</w:t>
            </w:r>
            <w:r>
              <w:rPr>
                <w:rFonts w:ascii="Arial" w:hAnsi="Arial" w:cs="Arial"/>
                <w:sz w:val="20"/>
                <w:szCs w:val="20"/>
              </w:rPr>
              <w:t xml:space="preserve"> </w:t>
            </w:r>
            <w:r w:rsidRPr="00882365">
              <w:rPr>
                <w:rFonts w:ascii="Arial" w:hAnsi="Arial" w:cs="Arial"/>
                <w:sz w:val="20"/>
                <w:szCs w:val="20"/>
              </w:rPr>
              <w:t>to the</w:t>
            </w:r>
            <w:r w:rsidR="00C033B5">
              <w:rPr>
                <w:rFonts w:ascii="Arial" w:hAnsi="Arial" w:cs="Arial"/>
                <w:sz w:val="20"/>
                <w:szCs w:val="20"/>
              </w:rPr>
              <w:t xml:space="preserve"> </w:t>
            </w:r>
            <w:r>
              <w:rPr>
                <w:rFonts w:ascii="Arial" w:hAnsi="Arial" w:cs="Arial"/>
                <w:sz w:val="20"/>
                <w:szCs w:val="20"/>
              </w:rPr>
              <w:t>d</w:t>
            </w:r>
            <w:r w:rsidRPr="00882365">
              <w:rPr>
                <w:rFonts w:ascii="Arial" w:hAnsi="Arial" w:cs="Arial"/>
                <w:sz w:val="20"/>
                <w:szCs w:val="20"/>
              </w:rPr>
              <w:t>efinition</w:t>
            </w:r>
            <w:r w:rsidR="00C033B5">
              <w:rPr>
                <w:rFonts w:ascii="Arial" w:hAnsi="Arial" w:cs="Arial"/>
                <w:sz w:val="20"/>
                <w:szCs w:val="20"/>
              </w:rPr>
              <w:t>s</w:t>
            </w:r>
            <w:r w:rsidRPr="00882365">
              <w:rPr>
                <w:rFonts w:ascii="Arial" w:hAnsi="Arial" w:cs="Arial"/>
                <w:sz w:val="20"/>
                <w:szCs w:val="20"/>
              </w:rPr>
              <w:t xml:space="preserve"> of </w:t>
            </w:r>
            <w:r w:rsidR="00C033B5">
              <w:rPr>
                <w:rFonts w:ascii="Arial" w:hAnsi="Arial" w:cs="Arial"/>
                <w:sz w:val="20"/>
                <w:szCs w:val="20"/>
              </w:rPr>
              <w:t>“</w:t>
            </w:r>
            <w:r w:rsidRPr="00882365">
              <w:rPr>
                <w:rFonts w:ascii="Arial" w:hAnsi="Arial" w:cs="Arial"/>
                <w:sz w:val="20"/>
                <w:szCs w:val="20"/>
              </w:rPr>
              <w:t>Substantial Damage</w:t>
            </w:r>
            <w:r w:rsidR="00C033B5">
              <w:rPr>
                <w:rFonts w:ascii="Arial" w:hAnsi="Arial" w:cs="Arial"/>
                <w:sz w:val="20"/>
                <w:szCs w:val="20"/>
              </w:rPr>
              <w:t>”</w:t>
            </w:r>
            <w:r w:rsidRPr="00882365">
              <w:rPr>
                <w:rFonts w:ascii="Arial" w:hAnsi="Arial" w:cs="Arial"/>
                <w:sz w:val="20"/>
                <w:szCs w:val="20"/>
              </w:rPr>
              <w:t xml:space="preserve"> and</w:t>
            </w:r>
            <w:r w:rsidR="00C033B5">
              <w:rPr>
                <w:rFonts w:ascii="Arial" w:hAnsi="Arial" w:cs="Arial"/>
                <w:sz w:val="20"/>
                <w:szCs w:val="20"/>
              </w:rPr>
              <w:t xml:space="preserve"> “</w:t>
            </w:r>
            <w:r w:rsidRPr="00882365">
              <w:rPr>
                <w:rFonts w:ascii="Arial" w:hAnsi="Arial" w:cs="Arial"/>
                <w:sz w:val="20"/>
                <w:szCs w:val="20"/>
              </w:rPr>
              <w:t>Substantial Improvement</w:t>
            </w:r>
            <w:r w:rsidR="00C033B5">
              <w:rPr>
                <w:rFonts w:ascii="Arial" w:hAnsi="Arial" w:cs="Arial"/>
                <w:sz w:val="20"/>
                <w:szCs w:val="20"/>
              </w:rPr>
              <w:t>”</w:t>
            </w:r>
            <w:r w:rsidRPr="00882365">
              <w:rPr>
                <w:rFonts w:ascii="Arial" w:hAnsi="Arial" w:cs="Arial"/>
                <w:sz w:val="20"/>
                <w:szCs w:val="20"/>
              </w:rPr>
              <w:t xml:space="preserve"> to provide an option </w:t>
            </w:r>
            <w:r w:rsidR="00C033B5">
              <w:rPr>
                <w:rFonts w:ascii="Arial" w:hAnsi="Arial" w:cs="Arial"/>
                <w:sz w:val="20"/>
                <w:szCs w:val="20"/>
              </w:rPr>
              <w:t xml:space="preserve">for compliance </w:t>
            </w:r>
            <w:r w:rsidRPr="00882365">
              <w:rPr>
                <w:rFonts w:ascii="Arial" w:hAnsi="Arial" w:cs="Arial"/>
                <w:sz w:val="20"/>
                <w:szCs w:val="20"/>
              </w:rPr>
              <w:t>with</w:t>
            </w:r>
            <w:r w:rsidR="00C033B5">
              <w:rPr>
                <w:rFonts w:ascii="Arial" w:hAnsi="Arial" w:cs="Arial"/>
                <w:sz w:val="20"/>
                <w:szCs w:val="20"/>
              </w:rPr>
              <w:t xml:space="preserve"> </w:t>
            </w:r>
            <w:r w:rsidRPr="00882365">
              <w:rPr>
                <w:rFonts w:ascii="Arial" w:hAnsi="Arial" w:cs="Arial"/>
                <w:sz w:val="20"/>
                <w:szCs w:val="20"/>
              </w:rPr>
              <w:t>the latest FEMA guidance or use the Building</w:t>
            </w:r>
            <w:r w:rsidR="00C033B5">
              <w:rPr>
                <w:rFonts w:ascii="Arial" w:hAnsi="Arial" w:cs="Arial"/>
                <w:sz w:val="20"/>
                <w:szCs w:val="20"/>
              </w:rPr>
              <w:t xml:space="preserve"> </w:t>
            </w:r>
            <w:r w:rsidRPr="00882365">
              <w:rPr>
                <w:rFonts w:ascii="Arial" w:hAnsi="Arial" w:cs="Arial"/>
                <w:sz w:val="20"/>
                <w:szCs w:val="20"/>
              </w:rPr>
              <w:t>Valuation Data.</w:t>
            </w:r>
          </w:p>
          <w:p w14:paraId="062995E5" w14:textId="77777777" w:rsidR="00C033B5" w:rsidRDefault="00C033B5" w:rsidP="00C033B5">
            <w:pPr>
              <w:autoSpaceDE w:val="0"/>
              <w:autoSpaceDN w:val="0"/>
              <w:adjustRightInd w:val="0"/>
              <w:rPr>
                <w:rFonts w:ascii="Arial" w:hAnsi="Arial" w:cs="Arial"/>
                <w:sz w:val="20"/>
                <w:szCs w:val="20"/>
              </w:rPr>
            </w:pPr>
          </w:p>
          <w:p w14:paraId="2B516BEE" w14:textId="5C92A291" w:rsidR="00C033B5" w:rsidRPr="00E42772" w:rsidRDefault="00C033B5" w:rsidP="00C033B5">
            <w:pPr>
              <w:autoSpaceDE w:val="0"/>
              <w:autoSpaceDN w:val="0"/>
              <w:adjustRightInd w:val="0"/>
              <w:rPr>
                <w:rFonts w:ascii="Arial" w:hAnsi="Arial" w:cs="Arial"/>
                <w:b/>
                <w:bCs/>
                <w:sz w:val="20"/>
                <w:szCs w:val="20"/>
              </w:rPr>
            </w:pPr>
            <w:r>
              <w:rPr>
                <w:rFonts w:ascii="Arial" w:hAnsi="Arial" w:cs="Arial"/>
                <w:sz w:val="20"/>
                <w:szCs w:val="20"/>
              </w:rPr>
              <w:t xml:space="preserve">Since the proposed modifications provide an additional option, there is no intended change in regulatory effect, and no change to the preliminary cost benefit analysis.  </w:t>
            </w:r>
          </w:p>
        </w:tc>
        <w:tc>
          <w:tcPr>
            <w:tcW w:w="2858" w:type="dxa"/>
            <w:shd w:val="clear" w:color="auto" w:fill="E2EFD9" w:themeFill="accent6" w:themeFillTint="33"/>
          </w:tcPr>
          <w:p w14:paraId="6DA65044" w14:textId="47D0EC11" w:rsidR="00B90869" w:rsidRPr="00E42772" w:rsidRDefault="00C033B5" w:rsidP="00B90869">
            <w:pPr>
              <w:rPr>
                <w:rFonts w:ascii="Arial" w:hAnsi="Arial" w:cs="Arial"/>
                <w:sz w:val="20"/>
                <w:szCs w:val="20"/>
              </w:rPr>
            </w:pPr>
            <w:r w:rsidRPr="00C033B5">
              <w:rPr>
                <w:rFonts w:ascii="Arial" w:hAnsi="Arial" w:cs="Arial"/>
                <w:sz w:val="20"/>
                <w:szCs w:val="20"/>
              </w:rPr>
              <w:t>The Council took into consideration the proposed modification and adopted the modified proposal.</w:t>
            </w:r>
          </w:p>
        </w:tc>
      </w:tr>
      <w:tr w:rsidR="00D165C3" w:rsidRPr="00E42772" w14:paraId="26357172" w14:textId="77777777" w:rsidTr="007D67EE">
        <w:tc>
          <w:tcPr>
            <w:tcW w:w="10795" w:type="dxa"/>
            <w:gridSpan w:val="4"/>
            <w:shd w:val="clear" w:color="auto" w:fill="E2EFD9" w:themeFill="accent6" w:themeFillTint="33"/>
          </w:tcPr>
          <w:p w14:paraId="452A6C35" w14:textId="0808938B" w:rsidR="00D165C3" w:rsidRPr="00967D4A" w:rsidRDefault="00967D4A" w:rsidP="00ED5F0F">
            <w:pPr>
              <w:spacing w:before="40" w:after="40"/>
              <w:rPr>
                <w:rFonts w:ascii="Arial" w:hAnsi="Arial" w:cs="Arial"/>
                <w:b/>
                <w:bCs/>
                <w:sz w:val="24"/>
                <w:szCs w:val="24"/>
              </w:rPr>
            </w:pPr>
            <w:r w:rsidRPr="00967D4A">
              <w:rPr>
                <w:rFonts w:ascii="Arial" w:hAnsi="Arial" w:cs="Arial"/>
                <w:b/>
                <w:bCs/>
                <w:sz w:val="24"/>
                <w:szCs w:val="24"/>
              </w:rPr>
              <w:t>Important Documents</w:t>
            </w:r>
            <w:r>
              <w:rPr>
                <w:rFonts w:ascii="Arial" w:hAnsi="Arial" w:cs="Arial"/>
                <w:b/>
                <w:bCs/>
                <w:sz w:val="24"/>
                <w:szCs w:val="24"/>
              </w:rPr>
              <w:t xml:space="preserve"> and Links</w:t>
            </w:r>
            <w:r w:rsidRPr="00967D4A">
              <w:rPr>
                <w:rFonts w:ascii="Arial" w:hAnsi="Arial" w:cs="Arial"/>
                <w:b/>
                <w:bCs/>
                <w:sz w:val="24"/>
                <w:szCs w:val="24"/>
              </w:rPr>
              <w:t>:</w:t>
            </w:r>
          </w:p>
          <w:p w14:paraId="2D7A4BC5" w14:textId="77777777" w:rsidR="00967D4A" w:rsidRDefault="00967D4A" w:rsidP="00ED5F0F">
            <w:pPr>
              <w:spacing w:before="40" w:after="40"/>
              <w:rPr>
                <w:rFonts w:ascii="Arial" w:hAnsi="Arial" w:cs="Arial"/>
                <w:sz w:val="20"/>
                <w:szCs w:val="20"/>
              </w:rPr>
            </w:pPr>
          </w:p>
          <w:p w14:paraId="514303B8" w14:textId="2724003E" w:rsidR="0089071B" w:rsidRDefault="0089071B" w:rsidP="0089071B">
            <w:pPr>
              <w:spacing w:before="40" w:after="40"/>
              <w:rPr>
                <w:rFonts w:ascii="Arial" w:hAnsi="Arial" w:cs="Arial"/>
                <w:sz w:val="20"/>
                <w:szCs w:val="20"/>
              </w:rPr>
            </w:pPr>
            <w:r>
              <w:rPr>
                <w:rFonts w:ascii="Arial" w:hAnsi="Arial" w:cs="Arial"/>
                <w:sz w:val="20"/>
                <w:szCs w:val="20"/>
              </w:rPr>
              <w:t xml:space="preserve">Initial Submittal – </w:t>
            </w:r>
            <w:hyperlink r:id="rId10" w:history="1">
              <w:r w:rsidRPr="00C033B5">
                <w:rPr>
                  <w:rStyle w:val="Hyperlink"/>
                  <w:rFonts w:ascii="Arial" w:hAnsi="Arial" w:cs="Arial"/>
                  <w:sz w:val="20"/>
                  <w:szCs w:val="20"/>
                </w:rPr>
                <w:t>CR-102</w:t>
              </w:r>
              <w:r w:rsidR="00967D4A" w:rsidRPr="00C033B5">
                <w:rPr>
                  <w:rStyle w:val="Hyperlink"/>
                  <w:rFonts w:ascii="Arial" w:hAnsi="Arial" w:cs="Arial"/>
                  <w:sz w:val="20"/>
                  <w:szCs w:val="20"/>
                </w:rPr>
                <w:t xml:space="preserve"> with Proposals</w:t>
              </w:r>
            </w:hyperlink>
          </w:p>
          <w:p w14:paraId="735F9E50" w14:textId="453219B4" w:rsidR="00D165C3" w:rsidRPr="0023726E" w:rsidRDefault="005E0D6B" w:rsidP="00D165C3">
            <w:pPr>
              <w:spacing w:before="40" w:after="40"/>
              <w:rPr>
                <w:rFonts w:ascii="Arial" w:hAnsi="Arial" w:cs="Arial"/>
                <w:color w:val="FF0000"/>
                <w:sz w:val="20"/>
                <w:szCs w:val="20"/>
              </w:rPr>
            </w:pPr>
            <w:r w:rsidRPr="0023726E">
              <w:rPr>
                <w:rFonts w:ascii="Arial" w:hAnsi="Arial" w:cs="Arial"/>
                <w:color w:val="FF0000"/>
                <w:sz w:val="20"/>
                <w:szCs w:val="20"/>
              </w:rPr>
              <w:t xml:space="preserve">CR-103: </w:t>
            </w:r>
            <w:r w:rsidR="00D165C3" w:rsidRPr="0023726E">
              <w:rPr>
                <w:rFonts w:ascii="Arial" w:hAnsi="Arial" w:cs="Arial"/>
                <w:color w:val="FF0000"/>
                <w:sz w:val="20"/>
                <w:szCs w:val="20"/>
              </w:rPr>
              <w:t xml:space="preserve">2021 </w:t>
            </w:r>
            <w:r w:rsidR="0089071B" w:rsidRPr="0023726E">
              <w:rPr>
                <w:rFonts w:ascii="Arial" w:hAnsi="Arial" w:cs="Arial"/>
                <w:color w:val="FF0000"/>
                <w:sz w:val="20"/>
                <w:szCs w:val="20"/>
              </w:rPr>
              <w:t>I</w:t>
            </w:r>
            <w:r w:rsidR="0023726E" w:rsidRPr="0023726E">
              <w:rPr>
                <w:rFonts w:ascii="Arial" w:hAnsi="Arial" w:cs="Arial"/>
                <w:color w:val="FF0000"/>
                <w:sz w:val="20"/>
                <w:szCs w:val="20"/>
              </w:rPr>
              <w:t>E</w:t>
            </w:r>
            <w:r w:rsidR="0089071B" w:rsidRPr="0023726E">
              <w:rPr>
                <w:rFonts w:ascii="Arial" w:hAnsi="Arial" w:cs="Arial"/>
                <w:color w:val="FF0000"/>
                <w:sz w:val="20"/>
                <w:szCs w:val="20"/>
              </w:rPr>
              <w:t xml:space="preserve">BC </w:t>
            </w:r>
            <w:r w:rsidR="00D165C3" w:rsidRPr="0023726E">
              <w:rPr>
                <w:rFonts w:ascii="Arial" w:hAnsi="Arial" w:cs="Arial"/>
                <w:color w:val="FF0000"/>
                <w:sz w:val="20"/>
                <w:szCs w:val="20"/>
              </w:rPr>
              <w:t xml:space="preserve">as adopted </w:t>
            </w:r>
            <w:r w:rsidR="0089071B" w:rsidRPr="0023726E">
              <w:rPr>
                <w:rFonts w:ascii="Arial" w:hAnsi="Arial" w:cs="Arial"/>
                <w:color w:val="FF0000"/>
                <w:sz w:val="20"/>
                <w:szCs w:val="20"/>
              </w:rPr>
              <w:t xml:space="preserve">by the SBCC on </w:t>
            </w:r>
            <w:r w:rsidR="0023726E" w:rsidRPr="0023726E">
              <w:rPr>
                <w:rFonts w:ascii="Arial" w:hAnsi="Arial" w:cs="Arial"/>
                <w:color w:val="FF0000"/>
                <w:sz w:val="20"/>
                <w:szCs w:val="20"/>
              </w:rPr>
              <w:t>November 18</w:t>
            </w:r>
            <w:r w:rsidR="0089071B" w:rsidRPr="0023726E">
              <w:rPr>
                <w:rFonts w:ascii="Arial" w:hAnsi="Arial" w:cs="Arial"/>
                <w:color w:val="FF0000"/>
                <w:sz w:val="20"/>
                <w:szCs w:val="20"/>
              </w:rPr>
              <w:t>, 2022</w:t>
            </w:r>
          </w:p>
          <w:p w14:paraId="3FBF7603" w14:textId="77C43631" w:rsidR="0089071B" w:rsidRPr="0023726E" w:rsidRDefault="0023726E" w:rsidP="00D165C3">
            <w:pPr>
              <w:spacing w:before="40" w:after="4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"https://sbcc.wa.gov/sites/default/files/2022-10/IEBC%20Testimony%20Summary_0.pdf" </w:instrText>
            </w:r>
            <w:r>
              <w:rPr>
                <w:rFonts w:ascii="Arial" w:hAnsi="Arial" w:cs="Arial"/>
                <w:sz w:val="20"/>
                <w:szCs w:val="20"/>
              </w:rPr>
              <w:fldChar w:fldCharType="separate"/>
            </w:r>
            <w:r w:rsidR="0089071B" w:rsidRPr="0023726E">
              <w:rPr>
                <w:rStyle w:val="Hyperlink"/>
                <w:rFonts w:ascii="Arial" w:hAnsi="Arial" w:cs="Arial"/>
                <w:sz w:val="20"/>
                <w:szCs w:val="20"/>
              </w:rPr>
              <w:t>2021 I</w:t>
            </w:r>
            <w:r w:rsidRPr="0023726E">
              <w:rPr>
                <w:rStyle w:val="Hyperlink"/>
                <w:rFonts w:ascii="Arial" w:hAnsi="Arial" w:cs="Arial"/>
                <w:sz w:val="20"/>
                <w:szCs w:val="20"/>
              </w:rPr>
              <w:t>E</w:t>
            </w:r>
            <w:r w:rsidR="0089071B" w:rsidRPr="0023726E">
              <w:rPr>
                <w:rStyle w:val="Hyperlink"/>
                <w:rFonts w:ascii="Arial" w:hAnsi="Arial" w:cs="Arial"/>
                <w:sz w:val="20"/>
                <w:szCs w:val="20"/>
              </w:rPr>
              <w:t>BC Public Testimony Summary</w:t>
            </w:r>
          </w:p>
          <w:p w14:paraId="5AD026CE" w14:textId="13DBD25B" w:rsidR="00967D4A" w:rsidRPr="004510C7" w:rsidRDefault="0023726E" w:rsidP="00D165C3">
            <w:pPr>
              <w:spacing w:before="40" w:after="40"/>
              <w:rPr>
                <w:rStyle w:val="Hyperlink"/>
                <w:rFonts w:ascii="Arial" w:hAnsi="Arial" w:cs="Arial"/>
                <w:sz w:val="20"/>
                <w:szCs w:val="20"/>
              </w:rPr>
            </w:pPr>
            <w:r>
              <w:rPr>
                <w:rFonts w:ascii="Arial" w:hAnsi="Arial" w:cs="Arial"/>
                <w:sz w:val="20"/>
                <w:szCs w:val="20"/>
              </w:rPr>
              <w:fldChar w:fldCharType="end"/>
            </w:r>
            <w:r w:rsidR="004510C7">
              <w:rPr>
                <w:rFonts w:ascii="Arial" w:hAnsi="Arial" w:cs="Arial"/>
                <w:sz w:val="20"/>
                <w:szCs w:val="20"/>
              </w:rPr>
              <w:fldChar w:fldCharType="begin"/>
            </w:r>
            <w:r w:rsidR="004510C7">
              <w:rPr>
                <w:rFonts w:ascii="Arial" w:hAnsi="Arial" w:cs="Arial"/>
                <w:sz w:val="20"/>
                <w:szCs w:val="20"/>
              </w:rPr>
              <w:instrText xml:space="preserve"> HYPERLINK "https://sbcc.wa.gov/events/2022-09/public-hearing-09302022" </w:instrText>
            </w:r>
            <w:r w:rsidR="004510C7">
              <w:rPr>
                <w:rFonts w:ascii="Arial" w:hAnsi="Arial" w:cs="Arial"/>
                <w:sz w:val="20"/>
                <w:szCs w:val="20"/>
              </w:rPr>
              <w:fldChar w:fldCharType="separate"/>
            </w:r>
            <w:r w:rsidRPr="004510C7">
              <w:rPr>
                <w:rStyle w:val="Hyperlink"/>
                <w:rFonts w:ascii="Arial" w:hAnsi="Arial" w:cs="Arial"/>
                <w:sz w:val="20"/>
                <w:szCs w:val="20"/>
              </w:rPr>
              <w:t xml:space="preserve">2021 IBC/IEBC </w:t>
            </w:r>
            <w:r w:rsidR="00967D4A" w:rsidRPr="004510C7">
              <w:rPr>
                <w:rStyle w:val="Hyperlink"/>
                <w:rFonts w:ascii="Arial" w:hAnsi="Arial" w:cs="Arial"/>
                <w:sz w:val="20"/>
                <w:szCs w:val="20"/>
              </w:rPr>
              <w:t xml:space="preserve">Public Hearing </w:t>
            </w:r>
            <w:r w:rsidRPr="004510C7">
              <w:rPr>
                <w:rStyle w:val="Hyperlink"/>
                <w:rFonts w:ascii="Arial" w:hAnsi="Arial" w:cs="Arial"/>
                <w:sz w:val="20"/>
                <w:szCs w:val="20"/>
              </w:rPr>
              <w:t>09/30/2022</w:t>
            </w:r>
          </w:p>
          <w:p w14:paraId="64E2353B" w14:textId="59E1833B" w:rsidR="004510C7" w:rsidRPr="004510C7" w:rsidRDefault="004510C7" w:rsidP="004510C7">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HYPERLINK "https://sbcc.wa.gov/events/2022-10/public-hearing-10142022"</w:instrText>
            </w:r>
            <w:r>
              <w:rPr>
                <w:rFonts w:ascii="Arial" w:hAnsi="Arial" w:cs="Arial"/>
                <w:sz w:val="20"/>
                <w:szCs w:val="20"/>
              </w:rPr>
              <w:fldChar w:fldCharType="separate"/>
            </w:r>
            <w:r w:rsidRPr="004510C7">
              <w:rPr>
                <w:rStyle w:val="Hyperlink"/>
                <w:rFonts w:ascii="Arial" w:hAnsi="Arial" w:cs="Arial"/>
                <w:sz w:val="20"/>
                <w:szCs w:val="20"/>
              </w:rPr>
              <w:t xml:space="preserve">2021 IBC/IEBC Public Hearing </w:t>
            </w:r>
            <w:r>
              <w:rPr>
                <w:rStyle w:val="Hyperlink"/>
                <w:rFonts w:ascii="Arial" w:hAnsi="Arial" w:cs="Arial"/>
                <w:sz w:val="20"/>
                <w:szCs w:val="20"/>
              </w:rPr>
              <w:t>10/14/</w:t>
            </w:r>
            <w:r w:rsidRPr="004510C7">
              <w:rPr>
                <w:rStyle w:val="Hyperlink"/>
                <w:rFonts w:ascii="Arial" w:hAnsi="Arial" w:cs="Arial"/>
                <w:sz w:val="20"/>
                <w:szCs w:val="20"/>
              </w:rPr>
              <w:t>2022</w:t>
            </w:r>
          </w:p>
          <w:p w14:paraId="1BA3A1E8" w14:textId="09CCA843" w:rsidR="00947D9F" w:rsidRPr="004510C7" w:rsidRDefault="004510C7" w:rsidP="004510C7">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"https://sbcc.wa.gov/sites/default/files/2022-10/IEBC_Written_Testimony_Log_10-14-2022_1.pdf" </w:instrText>
            </w:r>
            <w:r>
              <w:rPr>
                <w:rFonts w:ascii="Arial" w:hAnsi="Arial" w:cs="Arial"/>
                <w:sz w:val="20"/>
                <w:szCs w:val="20"/>
              </w:rPr>
              <w:fldChar w:fldCharType="separate"/>
            </w:r>
            <w:r w:rsidRPr="004510C7">
              <w:rPr>
                <w:rStyle w:val="Hyperlink"/>
                <w:rFonts w:ascii="Arial" w:hAnsi="Arial" w:cs="Arial"/>
                <w:sz w:val="20"/>
                <w:szCs w:val="20"/>
              </w:rPr>
              <w:t xml:space="preserve">2021 </w:t>
            </w:r>
            <w:r w:rsidR="00947D9F" w:rsidRPr="004510C7">
              <w:rPr>
                <w:rStyle w:val="Hyperlink"/>
                <w:rFonts w:ascii="Arial" w:hAnsi="Arial" w:cs="Arial"/>
                <w:sz w:val="20"/>
                <w:szCs w:val="20"/>
              </w:rPr>
              <w:t>I</w:t>
            </w:r>
            <w:r w:rsidRPr="004510C7">
              <w:rPr>
                <w:rStyle w:val="Hyperlink"/>
                <w:rFonts w:ascii="Arial" w:hAnsi="Arial" w:cs="Arial"/>
                <w:sz w:val="20"/>
                <w:szCs w:val="20"/>
              </w:rPr>
              <w:t>E</w:t>
            </w:r>
            <w:r w:rsidR="00947D9F" w:rsidRPr="004510C7">
              <w:rPr>
                <w:rStyle w:val="Hyperlink"/>
                <w:rFonts w:ascii="Arial" w:hAnsi="Arial" w:cs="Arial"/>
                <w:sz w:val="20"/>
                <w:szCs w:val="20"/>
              </w:rPr>
              <w:t>BC Written Testimony </w:t>
            </w:r>
          </w:p>
          <w:p w14:paraId="16A71073" w14:textId="14E031DA" w:rsidR="00967D4A" w:rsidRPr="004510C7" w:rsidRDefault="004510C7" w:rsidP="00967D4A">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"https://www.sbcc.wa.gov/sites/default/files/2022-09/2021%20IEBC_Preliminary%20Cost%20Benefit%20Analysis_0.pdf" </w:instrText>
            </w:r>
            <w:r>
              <w:rPr>
                <w:rFonts w:ascii="Arial" w:hAnsi="Arial" w:cs="Arial"/>
                <w:sz w:val="20"/>
                <w:szCs w:val="20"/>
              </w:rPr>
              <w:fldChar w:fldCharType="separate"/>
            </w:r>
            <w:r w:rsidR="00967D4A" w:rsidRPr="004510C7">
              <w:rPr>
                <w:rStyle w:val="Hyperlink"/>
                <w:rFonts w:ascii="Arial" w:hAnsi="Arial" w:cs="Arial"/>
                <w:sz w:val="20"/>
                <w:szCs w:val="20"/>
              </w:rPr>
              <w:t>2021 I</w:t>
            </w:r>
            <w:r w:rsidRPr="004510C7">
              <w:rPr>
                <w:rStyle w:val="Hyperlink"/>
                <w:rFonts w:ascii="Arial" w:hAnsi="Arial" w:cs="Arial"/>
                <w:sz w:val="20"/>
                <w:szCs w:val="20"/>
              </w:rPr>
              <w:t>E</w:t>
            </w:r>
            <w:r w:rsidR="00967D4A" w:rsidRPr="004510C7">
              <w:rPr>
                <w:rStyle w:val="Hyperlink"/>
                <w:rFonts w:ascii="Arial" w:hAnsi="Arial" w:cs="Arial"/>
                <w:sz w:val="20"/>
                <w:szCs w:val="20"/>
              </w:rPr>
              <w:t>BC Preliminary Cost Benefit Analysis</w:t>
            </w:r>
          </w:p>
          <w:p w14:paraId="3D3EE92A" w14:textId="6C0B158E" w:rsidR="00967D4A" w:rsidRPr="004510C7" w:rsidRDefault="004510C7" w:rsidP="00D165C3">
            <w:pPr>
              <w:spacing w:before="40" w:after="40"/>
              <w:rPr>
                <w:rFonts w:ascii="Arial" w:hAnsi="Arial" w:cs="Arial"/>
                <w:color w:val="FF0000"/>
                <w:sz w:val="20"/>
                <w:szCs w:val="20"/>
              </w:rPr>
            </w:pPr>
            <w:r>
              <w:rPr>
                <w:rFonts w:ascii="Arial" w:hAnsi="Arial" w:cs="Arial"/>
                <w:sz w:val="20"/>
                <w:szCs w:val="20"/>
              </w:rPr>
              <w:fldChar w:fldCharType="end"/>
            </w:r>
            <w:hyperlink r:id="rId11" w:history="1">
              <w:r w:rsidR="00967D4A" w:rsidRPr="0080243F">
                <w:rPr>
                  <w:rStyle w:val="Hyperlink"/>
                  <w:rFonts w:ascii="Arial" w:hAnsi="Arial" w:cs="Arial"/>
                  <w:sz w:val="20"/>
                  <w:szCs w:val="20"/>
                </w:rPr>
                <w:t>2021 I</w:t>
              </w:r>
              <w:r w:rsidRPr="0080243F">
                <w:rPr>
                  <w:rStyle w:val="Hyperlink"/>
                  <w:rFonts w:ascii="Arial" w:hAnsi="Arial" w:cs="Arial"/>
                  <w:sz w:val="20"/>
                  <w:szCs w:val="20"/>
                </w:rPr>
                <w:t>E</w:t>
              </w:r>
              <w:r w:rsidR="00967D4A" w:rsidRPr="0080243F">
                <w:rPr>
                  <w:rStyle w:val="Hyperlink"/>
                  <w:rFonts w:ascii="Arial" w:hAnsi="Arial" w:cs="Arial"/>
                  <w:sz w:val="20"/>
                  <w:szCs w:val="20"/>
                </w:rPr>
                <w:t>BC Final Cost Benefit Analysis</w:t>
              </w:r>
            </w:hyperlink>
          </w:p>
          <w:p w14:paraId="7BB69D5E" w14:textId="67A1A288" w:rsidR="00D165C3" w:rsidRDefault="00967D4A" w:rsidP="004C51B1">
            <w:pPr>
              <w:spacing w:before="40" w:after="40"/>
              <w:rPr>
                <w:rFonts w:ascii="Arial" w:hAnsi="Arial" w:cs="Arial"/>
                <w:color w:val="FF0000"/>
                <w:sz w:val="20"/>
                <w:szCs w:val="20"/>
              </w:rPr>
            </w:pPr>
            <w:r w:rsidRPr="001E3AC0">
              <w:rPr>
                <w:rFonts w:ascii="Arial" w:hAnsi="Arial" w:cs="Arial"/>
                <w:sz w:val="20"/>
                <w:szCs w:val="20"/>
              </w:rPr>
              <w:t xml:space="preserve">Council Meeting </w:t>
            </w:r>
            <w:r w:rsidR="004510C7" w:rsidRPr="001E3AC0">
              <w:rPr>
                <w:rFonts w:ascii="Arial" w:hAnsi="Arial" w:cs="Arial"/>
                <w:sz w:val="20"/>
                <w:szCs w:val="20"/>
              </w:rPr>
              <w:t>November 18, 2022</w:t>
            </w:r>
            <w:r w:rsidRPr="001E3AC0">
              <w:rPr>
                <w:rFonts w:ascii="Arial" w:hAnsi="Arial" w:cs="Arial"/>
                <w:sz w:val="20"/>
                <w:szCs w:val="20"/>
              </w:rPr>
              <w:t xml:space="preserve"> –</w:t>
            </w:r>
            <w:r w:rsidR="001E3AC0">
              <w:rPr>
                <w:rFonts w:ascii="Arial" w:hAnsi="Arial" w:cs="Arial"/>
                <w:sz w:val="20"/>
                <w:szCs w:val="20"/>
              </w:rPr>
              <w:t xml:space="preserve"> </w:t>
            </w:r>
            <w:hyperlink r:id="rId12" w:history="1">
              <w:r w:rsidR="001E3AC0" w:rsidRPr="00024FCA">
                <w:rPr>
                  <w:rStyle w:val="Hyperlink"/>
                  <w:rFonts w:ascii="Arial" w:hAnsi="Arial" w:cs="Arial"/>
                  <w:sz w:val="20"/>
                  <w:szCs w:val="20"/>
                </w:rPr>
                <w:t>https://youtu.be/3HvjN23OVvY</w:t>
              </w:r>
            </w:hyperlink>
          </w:p>
          <w:p w14:paraId="4001F589" w14:textId="5FD14E53" w:rsidR="001E3AC0" w:rsidRPr="00E42772" w:rsidRDefault="001E3AC0" w:rsidP="004C51B1">
            <w:pPr>
              <w:spacing w:before="40" w:after="40"/>
              <w:rPr>
                <w:rFonts w:ascii="Arial" w:hAnsi="Arial" w:cs="Arial"/>
                <w:sz w:val="20"/>
                <w:szCs w:val="20"/>
              </w:rPr>
            </w:pPr>
          </w:p>
        </w:tc>
      </w:tr>
      <w:tr w:rsidR="00CC7C44" w:rsidRPr="00E42772" w14:paraId="5160669A" w14:textId="77777777" w:rsidTr="007D67EE">
        <w:tc>
          <w:tcPr>
            <w:tcW w:w="10795" w:type="dxa"/>
            <w:gridSpan w:val="4"/>
            <w:shd w:val="clear" w:color="auto" w:fill="E2EFD9" w:themeFill="accent6" w:themeFillTint="33"/>
          </w:tcPr>
          <w:p w14:paraId="1E0C1A79" w14:textId="77777777" w:rsidR="00CC7C44" w:rsidRPr="00967D4A" w:rsidRDefault="00CC7C44" w:rsidP="00ED5F0F">
            <w:pPr>
              <w:spacing w:before="40" w:after="40"/>
              <w:rPr>
                <w:rFonts w:ascii="Arial" w:hAnsi="Arial" w:cs="Arial"/>
                <w:b/>
                <w:bCs/>
                <w:sz w:val="24"/>
                <w:szCs w:val="24"/>
              </w:rPr>
            </w:pPr>
          </w:p>
        </w:tc>
      </w:tr>
    </w:tbl>
    <w:p w14:paraId="6C634BB0" w14:textId="69030B11" w:rsidR="00CC7C44" w:rsidRDefault="00CC7C44" w:rsidP="00640A83">
      <w:pPr>
        <w:spacing w:before="40" w:after="40"/>
        <w:rPr>
          <w:rFonts w:ascii="Arial" w:hAnsi="Arial" w:cs="Arial"/>
          <w:sz w:val="20"/>
          <w:szCs w:val="20"/>
        </w:rPr>
      </w:pPr>
    </w:p>
    <w:p w14:paraId="34CC80BE" w14:textId="77777777" w:rsidR="00CC7C44" w:rsidRDefault="00CC7C44">
      <w:pPr>
        <w:rPr>
          <w:rFonts w:ascii="Arial" w:hAnsi="Arial" w:cs="Arial"/>
          <w:sz w:val="20"/>
          <w:szCs w:val="20"/>
        </w:rPr>
      </w:pPr>
      <w:r>
        <w:rPr>
          <w:rFonts w:ascii="Arial" w:hAnsi="Arial" w:cs="Arial"/>
          <w:sz w:val="20"/>
          <w:szCs w:val="20"/>
        </w:rPr>
        <w:br w:type="page"/>
      </w:r>
    </w:p>
    <w:p w14:paraId="028FFDAA" w14:textId="77777777" w:rsidR="00743C22" w:rsidRDefault="00743C22" w:rsidP="00640A83">
      <w:pPr>
        <w:spacing w:before="40" w:after="40"/>
        <w:rPr>
          <w:rFonts w:ascii="Arial" w:hAnsi="Arial" w:cs="Arial"/>
          <w:sz w:val="20"/>
          <w:szCs w:val="20"/>
        </w:rPr>
      </w:pPr>
    </w:p>
    <w:p w14:paraId="01F1F3AA" w14:textId="62E4B587" w:rsidR="00CC7C44" w:rsidRPr="00CC7C44" w:rsidRDefault="00CC7C44" w:rsidP="00CC7C44">
      <w:pPr>
        <w:spacing w:before="40" w:after="40"/>
        <w:jc w:val="center"/>
        <w:rPr>
          <w:rFonts w:ascii="Arial" w:hAnsi="Arial" w:cs="Arial"/>
          <w:b/>
          <w:bCs/>
          <w:sz w:val="24"/>
          <w:szCs w:val="24"/>
        </w:rPr>
      </w:pPr>
      <w:r w:rsidRPr="00CC7C44">
        <w:rPr>
          <w:rFonts w:ascii="Arial" w:hAnsi="Arial" w:cs="Arial"/>
          <w:b/>
          <w:bCs/>
          <w:sz w:val="24"/>
          <w:szCs w:val="24"/>
        </w:rPr>
        <w:t>Changes from proposed (CR-102) to adopted (CR-103) version</w:t>
      </w: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3870"/>
        <w:gridCol w:w="4540"/>
      </w:tblGrid>
      <w:tr w:rsidR="00622137" w:rsidRPr="006B6B1C" w14:paraId="27EE9007" w14:textId="77777777" w:rsidTr="00CE7D91">
        <w:trPr>
          <w:tblHeader/>
        </w:trPr>
        <w:tc>
          <w:tcPr>
            <w:tcW w:w="1728" w:type="dxa"/>
            <w:shd w:val="clear" w:color="auto" w:fill="auto"/>
          </w:tcPr>
          <w:p w14:paraId="34629DF3" w14:textId="77777777" w:rsidR="00622137" w:rsidRPr="006B6B1C" w:rsidRDefault="00622137" w:rsidP="00CE7D91">
            <w:pPr>
              <w:jc w:val="center"/>
              <w:rPr>
                <w:b/>
                <w:sz w:val="18"/>
                <w:szCs w:val="18"/>
              </w:rPr>
            </w:pPr>
            <w:r w:rsidRPr="006B6B1C">
              <w:rPr>
                <w:b/>
                <w:sz w:val="18"/>
                <w:szCs w:val="18"/>
              </w:rPr>
              <w:t>WAC</w:t>
            </w:r>
          </w:p>
        </w:tc>
        <w:tc>
          <w:tcPr>
            <w:tcW w:w="1170" w:type="dxa"/>
            <w:shd w:val="clear" w:color="auto" w:fill="auto"/>
          </w:tcPr>
          <w:p w14:paraId="46524E2A" w14:textId="77777777" w:rsidR="00622137" w:rsidRPr="006B6B1C" w:rsidRDefault="00622137" w:rsidP="00CE7D91">
            <w:pPr>
              <w:jc w:val="center"/>
              <w:rPr>
                <w:b/>
                <w:sz w:val="18"/>
                <w:szCs w:val="18"/>
              </w:rPr>
            </w:pPr>
            <w:r w:rsidRPr="006B6B1C">
              <w:rPr>
                <w:b/>
                <w:sz w:val="18"/>
                <w:szCs w:val="18"/>
              </w:rPr>
              <w:t>Section</w:t>
            </w:r>
          </w:p>
        </w:tc>
        <w:tc>
          <w:tcPr>
            <w:tcW w:w="3870" w:type="dxa"/>
            <w:shd w:val="clear" w:color="auto" w:fill="auto"/>
          </w:tcPr>
          <w:p w14:paraId="5E8D87C2" w14:textId="77777777" w:rsidR="00622137" w:rsidRPr="006B6B1C" w:rsidRDefault="00622137" w:rsidP="00CE7D91">
            <w:pPr>
              <w:tabs>
                <w:tab w:val="left" w:pos="530"/>
                <w:tab w:val="center" w:pos="2682"/>
              </w:tabs>
              <w:jc w:val="center"/>
              <w:rPr>
                <w:b/>
                <w:sz w:val="18"/>
                <w:szCs w:val="18"/>
              </w:rPr>
            </w:pPr>
            <w:r w:rsidRPr="006B6B1C">
              <w:rPr>
                <w:b/>
                <w:sz w:val="18"/>
                <w:szCs w:val="18"/>
              </w:rPr>
              <w:t>Change</w:t>
            </w:r>
          </w:p>
        </w:tc>
        <w:tc>
          <w:tcPr>
            <w:tcW w:w="4540" w:type="dxa"/>
            <w:shd w:val="clear" w:color="auto" w:fill="auto"/>
          </w:tcPr>
          <w:p w14:paraId="769E09E5" w14:textId="77777777" w:rsidR="00622137" w:rsidRPr="006B6B1C" w:rsidRDefault="00622137" w:rsidP="00CE7D91">
            <w:pPr>
              <w:ind w:left="-70"/>
              <w:jc w:val="center"/>
              <w:rPr>
                <w:b/>
                <w:sz w:val="18"/>
                <w:szCs w:val="18"/>
              </w:rPr>
            </w:pPr>
            <w:r w:rsidRPr="006B6B1C">
              <w:rPr>
                <w:b/>
                <w:sz w:val="18"/>
                <w:szCs w:val="18"/>
              </w:rPr>
              <w:t>Rationale/Discussion</w:t>
            </w:r>
          </w:p>
        </w:tc>
      </w:tr>
      <w:tr w:rsidR="00622137" w:rsidRPr="006B6B1C" w14:paraId="3566B7F2" w14:textId="77777777" w:rsidTr="00CE7D91">
        <w:tc>
          <w:tcPr>
            <w:tcW w:w="1728" w:type="dxa"/>
            <w:shd w:val="clear" w:color="auto" w:fill="auto"/>
          </w:tcPr>
          <w:p w14:paraId="60969BF6" w14:textId="77777777" w:rsidR="00622137" w:rsidRPr="006B6B1C" w:rsidRDefault="00622137" w:rsidP="00CE7D91">
            <w:pPr>
              <w:jc w:val="center"/>
              <w:rPr>
                <w:sz w:val="18"/>
                <w:szCs w:val="18"/>
              </w:rPr>
            </w:pPr>
            <w:r w:rsidRPr="00C676FB">
              <w:rPr>
                <w:sz w:val="18"/>
                <w:szCs w:val="18"/>
              </w:rPr>
              <w:t xml:space="preserve">WAC 51-50-480200  </w:t>
            </w:r>
          </w:p>
        </w:tc>
        <w:tc>
          <w:tcPr>
            <w:tcW w:w="1170" w:type="dxa"/>
            <w:shd w:val="clear" w:color="auto" w:fill="auto"/>
          </w:tcPr>
          <w:p w14:paraId="0CEA17AB" w14:textId="77777777" w:rsidR="00622137" w:rsidRDefault="00622137" w:rsidP="00CE7D91">
            <w:pPr>
              <w:rPr>
                <w:sz w:val="18"/>
                <w:szCs w:val="18"/>
              </w:rPr>
            </w:pPr>
            <w:r>
              <w:rPr>
                <w:sz w:val="18"/>
                <w:szCs w:val="18"/>
              </w:rPr>
              <w:t xml:space="preserve">IEBC </w:t>
            </w:r>
            <w:r w:rsidRPr="00C676FB">
              <w:rPr>
                <w:sz w:val="18"/>
                <w:szCs w:val="18"/>
              </w:rPr>
              <w:t>202</w:t>
            </w:r>
          </w:p>
          <w:p w14:paraId="0B9AB2CC" w14:textId="77777777" w:rsidR="00622137" w:rsidRPr="006B6B1C" w:rsidRDefault="00622137" w:rsidP="00CE7D91">
            <w:pPr>
              <w:rPr>
                <w:sz w:val="18"/>
                <w:szCs w:val="18"/>
              </w:rPr>
            </w:pPr>
          </w:p>
        </w:tc>
        <w:tc>
          <w:tcPr>
            <w:tcW w:w="3870" w:type="dxa"/>
            <w:shd w:val="clear" w:color="auto" w:fill="auto"/>
          </w:tcPr>
          <w:p w14:paraId="48C9EE03" w14:textId="77777777" w:rsidR="00622137" w:rsidRPr="006B6B1C" w:rsidRDefault="00622137" w:rsidP="00CE7D91">
            <w:pPr>
              <w:rPr>
                <w:sz w:val="18"/>
                <w:szCs w:val="18"/>
              </w:rPr>
            </w:pPr>
            <w:r>
              <w:rPr>
                <w:sz w:val="18"/>
                <w:szCs w:val="18"/>
              </w:rPr>
              <w:t>Modifies the definitions for SUBSTANTIAL DAMAGE and SUBSTANTIAL IMPROVEMENT.</w:t>
            </w:r>
          </w:p>
        </w:tc>
        <w:tc>
          <w:tcPr>
            <w:tcW w:w="4540" w:type="dxa"/>
            <w:shd w:val="clear" w:color="auto" w:fill="auto"/>
          </w:tcPr>
          <w:p w14:paraId="05BCC1E2" w14:textId="77777777" w:rsidR="00622137" w:rsidRPr="006B6B1C" w:rsidRDefault="00622137" w:rsidP="00CE7D91">
            <w:pPr>
              <w:ind w:left="-70"/>
              <w:rPr>
                <w:sz w:val="18"/>
                <w:szCs w:val="18"/>
              </w:rPr>
            </w:pPr>
            <w:r>
              <w:rPr>
                <w:sz w:val="18"/>
                <w:szCs w:val="18"/>
              </w:rPr>
              <w:t xml:space="preserve">Both definitions are revised </w:t>
            </w:r>
            <w:r w:rsidRPr="00C676FB">
              <w:rPr>
                <w:sz w:val="18"/>
                <w:szCs w:val="18"/>
              </w:rPr>
              <w:t xml:space="preserve">to provide an option to comply with the latest FEMA guidance or use </w:t>
            </w:r>
            <w:r>
              <w:rPr>
                <w:sz w:val="18"/>
                <w:szCs w:val="18"/>
              </w:rPr>
              <w:t xml:space="preserve">of </w:t>
            </w:r>
            <w:r w:rsidRPr="00C676FB">
              <w:rPr>
                <w:sz w:val="18"/>
                <w:szCs w:val="18"/>
              </w:rPr>
              <w:t xml:space="preserve">the Building Valuation Data. </w:t>
            </w:r>
            <w:r>
              <w:rPr>
                <w:sz w:val="18"/>
                <w:szCs w:val="18"/>
              </w:rPr>
              <w:t xml:space="preserve">(See detailed rationale </w:t>
            </w:r>
            <w:hyperlink r:id="rId13" w:history="1">
              <w:r w:rsidRPr="00285C48">
                <w:rPr>
                  <w:rStyle w:val="Hyperlink"/>
                  <w:sz w:val="18"/>
                  <w:szCs w:val="18"/>
                </w:rPr>
                <w:t>here</w:t>
              </w:r>
            </w:hyperlink>
            <w:r>
              <w:rPr>
                <w:sz w:val="18"/>
                <w:szCs w:val="18"/>
              </w:rPr>
              <w:t>).</w:t>
            </w:r>
            <w:r w:rsidRPr="00C676FB">
              <w:rPr>
                <w:sz w:val="18"/>
                <w:szCs w:val="18"/>
              </w:rPr>
              <w:t xml:space="preserve">  </w:t>
            </w:r>
          </w:p>
        </w:tc>
      </w:tr>
      <w:tr w:rsidR="00622137" w:rsidRPr="006B6B1C" w14:paraId="4C26EF53" w14:textId="77777777" w:rsidTr="00CE7D91">
        <w:tc>
          <w:tcPr>
            <w:tcW w:w="1728" w:type="dxa"/>
            <w:shd w:val="clear" w:color="auto" w:fill="auto"/>
          </w:tcPr>
          <w:p w14:paraId="40AB8546" w14:textId="77777777" w:rsidR="00622137" w:rsidRPr="006B6B1C" w:rsidRDefault="00622137" w:rsidP="00CE7D91">
            <w:pPr>
              <w:jc w:val="center"/>
              <w:rPr>
                <w:sz w:val="18"/>
                <w:szCs w:val="18"/>
              </w:rPr>
            </w:pPr>
            <w:r w:rsidRPr="00285C48">
              <w:rPr>
                <w:sz w:val="18"/>
                <w:szCs w:val="18"/>
              </w:rPr>
              <w:t xml:space="preserve">WAC 51-50-480306  </w:t>
            </w:r>
          </w:p>
        </w:tc>
        <w:tc>
          <w:tcPr>
            <w:tcW w:w="1170" w:type="dxa"/>
            <w:shd w:val="clear" w:color="auto" w:fill="auto"/>
          </w:tcPr>
          <w:p w14:paraId="0F24976A" w14:textId="77777777" w:rsidR="00622137" w:rsidRPr="006B6B1C" w:rsidRDefault="00622137" w:rsidP="00CE7D91">
            <w:pPr>
              <w:rPr>
                <w:sz w:val="18"/>
                <w:szCs w:val="18"/>
              </w:rPr>
            </w:pPr>
            <w:r>
              <w:rPr>
                <w:sz w:val="18"/>
                <w:szCs w:val="18"/>
              </w:rPr>
              <w:t>IEBC 306.7.1</w:t>
            </w:r>
          </w:p>
        </w:tc>
        <w:tc>
          <w:tcPr>
            <w:tcW w:w="3870" w:type="dxa"/>
            <w:shd w:val="clear" w:color="auto" w:fill="auto"/>
          </w:tcPr>
          <w:p w14:paraId="09D16DD7" w14:textId="77777777" w:rsidR="00622137" w:rsidRPr="00361987" w:rsidRDefault="00622137" w:rsidP="00CE7D91">
            <w:pPr>
              <w:rPr>
                <w:sz w:val="18"/>
                <w:szCs w:val="18"/>
              </w:rPr>
            </w:pPr>
            <w:r w:rsidRPr="00361987">
              <w:rPr>
                <w:sz w:val="18"/>
                <w:szCs w:val="18"/>
              </w:rPr>
              <w:t>Combines Option 1 and Option 2.</w:t>
            </w:r>
          </w:p>
        </w:tc>
        <w:tc>
          <w:tcPr>
            <w:tcW w:w="4540" w:type="dxa"/>
            <w:shd w:val="clear" w:color="auto" w:fill="auto"/>
          </w:tcPr>
          <w:p w14:paraId="426F8AA7" w14:textId="77777777" w:rsidR="00622137" w:rsidRPr="00361987" w:rsidRDefault="00622137" w:rsidP="00CE7D91">
            <w:pPr>
              <w:ind w:left="-70"/>
              <w:rPr>
                <w:sz w:val="18"/>
                <w:szCs w:val="18"/>
              </w:rPr>
            </w:pPr>
            <w:r w:rsidRPr="00361987">
              <w:rPr>
                <w:sz w:val="18"/>
                <w:szCs w:val="18"/>
              </w:rPr>
              <w:t xml:space="preserve">Two Options for modified language in Section 306.7.1 were initially proposed and filed with the CR-102. The Council voted to combine both options. </w:t>
            </w:r>
          </w:p>
        </w:tc>
      </w:tr>
      <w:tr w:rsidR="00622137" w:rsidRPr="006B6B1C" w14:paraId="5369D74E" w14:textId="77777777" w:rsidTr="00CE7D91">
        <w:trPr>
          <w:trHeight w:val="953"/>
        </w:trPr>
        <w:tc>
          <w:tcPr>
            <w:tcW w:w="1728" w:type="dxa"/>
            <w:shd w:val="clear" w:color="auto" w:fill="auto"/>
          </w:tcPr>
          <w:p w14:paraId="0CB82802" w14:textId="77777777" w:rsidR="00622137" w:rsidRPr="00766E07" w:rsidRDefault="00622137" w:rsidP="00CE7D91">
            <w:pPr>
              <w:jc w:val="center"/>
              <w:rPr>
                <w:sz w:val="18"/>
                <w:szCs w:val="18"/>
              </w:rPr>
            </w:pPr>
            <w:r w:rsidRPr="00285C48">
              <w:rPr>
                <w:sz w:val="18"/>
                <w:szCs w:val="18"/>
              </w:rPr>
              <w:t>WAC 51-50-480401</w:t>
            </w:r>
          </w:p>
        </w:tc>
        <w:tc>
          <w:tcPr>
            <w:tcW w:w="1170" w:type="dxa"/>
            <w:shd w:val="clear" w:color="auto" w:fill="auto"/>
          </w:tcPr>
          <w:p w14:paraId="0FE39AF0" w14:textId="77777777" w:rsidR="00622137" w:rsidRDefault="00622137" w:rsidP="00CE7D91">
            <w:pPr>
              <w:rPr>
                <w:sz w:val="18"/>
                <w:szCs w:val="18"/>
              </w:rPr>
            </w:pPr>
            <w:r>
              <w:rPr>
                <w:sz w:val="18"/>
                <w:szCs w:val="18"/>
              </w:rPr>
              <w:t>IEBC 401.4</w:t>
            </w:r>
          </w:p>
        </w:tc>
        <w:tc>
          <w:tcPr>
            <w:tcW w:w="3870" w:type="dxa"/>
            <w:shd w:val="clear" w:color="auto" w:fill="auto"/>
          </w:tcPr>
          <w:p w14:paraId="29BBA43C" w14:textId="77777777" w:rsidR="00622137" w:rsidRDefault="00622137" w:rsidP="00CE7D91">
            <w:pPr>
              <w:rPr>
                <w:sz w:val="18"/>
                <w:szCs w:val="18"/>
              </w:rPr>
            </w:pPr>
            <w:r>
              <w:rPr>
                <w:sz w:val="18"/>
                <w:szCs w:val="18"/>
              </w:rPr>
              <w:t>Modifies the language in Section 401.4 (deletes the phrase “or remaining foundation as approved by the code official) and adds a new exception.</w:t>
            </w:r>
          </w:p>
        </w:tc>
        <w:tc>
          <w:tcPr>
            <w:tcW w:w="4540" w:type="dxa"/>
            <w:shd w:val="clear" w:color="auto" w:fill="auto"/>
          </w:tcPr>
          <w:p w14:paraId="1E984A5F" w14:textId="77777777" w:rsidR="00622137" w:rsidRDefault="00622137" w:rsidP="00CE7D91">
            <w:pPr>
              <w:ind w:left="-70"/>
              <w:rPr>
                <w:sz w:val="18"/>
                <w:szCs w:val="18"/>
              </w:rPr>
            </w:pPr>
            <w:r w:rsidRPr="00285C48">
              <w:rPr>
                <w:sz w:val="18"/>
                <w:szCs w:val="18"/>
              </w:rPr>
              <w:t xml:space="preserve">The intent of </w:t>
            </w:r>
            <w:r>
              <w:rPr>
                <w:sz w:val="18"/>
                <w:szCs w:val="18"/>
              </w:rPr>
              <w:t>the initial proposal (</w:t>
            </w:r>
            <w:r w:rsidRPr="00285C48">
              <w:rPr>
                <w:sz w:val="18"/>
                <w:szCs w:val="18"/>
              </w:rPr>
              <w:t>21-GP2-055</w:t>
            </w:r>
            <w:r>
              <w:rPr>
                <w:sz w:val="18"/>
                <w:szCs w:val="18"/>
              </w:rPr>
              <w:t>)</w:t>
            </w:r>
            <w:r w:rsidRPr="00285C48">
              <w:rPr>
                <w:sz w:val="18"/>
                <w:szCs w:val="18"/>
              </w:rPr>
              <w:t xml:space="preserve"> was to allow the reuse of existing foundations</w:t>
            </w:r>
            <w:r>
              <w:rPr>
                <w:sz w:val="18"/>
                <w:szCs w:val="18"/>
              </w:rPr>
              <w:t xml:space="preserve">, </w:t>
            </w:r>
            <w:r w:rsidRPr="00285C48">
              <w:rPr>
                <w:sz w:val="18"/>
                <w:szCs w:val="18"/>
              </w:rPr>
              <w:t>w</w:t>
            </w:r>
            <w:r>
              <w:rPr>
                <w:sz w:val="18"/>
                <w:szCs w:val="18"/>
              </w:rPr>
              <w:t>h</w:t>
            </w:r>
            <w:r w:rsidRPr="00285C48">
              <w:rPr>
                <w:sz w:val="18"/>
                <w:szCs w:val="18"/>
              </w:rPr>
              <w:t>ere approved by the Code Official. Th</w:t>
            </w:r>
            <w:r>
              <w:rPr>
                <w:sz w:val="18"/>
                <w:szCs w:val="18"/>
              </w:rPr>
              <w:t xml:space="preserve">is modification </w:t>
            </w:r>
            <w:r w:rsidRPr="00285C48">
              <w:rPr>
                <w:sz w:val="18"/>
                <w:szCs w:val="18"/>
              </w:rPr>
              <w:t>provides th</w:t>
            </w:r>
            <w:r>
              <w:rPr>
                <w:sz w:val="18"/>
                <w:szCs w:val="18"/>
              </w:rPr>
              <w:t xml:space="preserve">e </w:t>
            </w:r>
            <w:r w:rsidRPr="00285C48">
              <w:rPr>
                <w:sz w:val="18"/>
                <w:szCs w:val="18"/>
              </w:rPr>
              <w:t>specific language, so it is clear to the</w:t>
            </w:r>
            <w:r>
              <w:rPr>
                <w:sz w:val="18"/>
                <w:szCs w:val="18"/>
              </w:rPr>
              <w:t xml:space="preserve"> </w:t>
            </w:r>
            <w:r w:rsidRPr="00285C48">
              <w:rPr>
                <w:sz w:val="18"/>
                <w:szCs w:val="18"/>
              </w:rPr>
              <w:t>code user on the reuse of existing foundations.</w:t>
            </w:r>
          </w:p>
        </w:tc>
      </w:tr>
      <w:tr w:rsidR="00622137" w:rsidRPr="006B6B1C" w14:paraId="57DBB6BC" w14:textId="77777777" w:rsidTr="00CE7D91">
        <w:tc>
          <w:tcPr>
            <w:tcW w:w="1728" w:type="dxa"/>
            <w:shd w:val="clear" w:color="auto" w:fill="auto"/>
          </w:tcPr>
          <w:p w14:paraId="1E75BF67" w14:textId="77777777" w:rsidR="00622137" w:rsidRPr="006B6B1C" w:rsidRDefault="00622137" w:rsidP="00CE7D91">
            <w:pPr>
              <w:jc w:val="center"/>
              <w:rPr>
                <w:sz w:val="18"/>
                <w:szCs w:val="18"/>
              </w:rPr>
            </w:pPr>
            <w:r w:rsidRPr="00285C48">
              <w:rPr>
                <w:sz w:val="18"/>
                <w:szCs w:val="18"/>
              </w:rPr>
              <w:t xml:space="preserve">WAC 51-50-480503  </w:t>
            </w:r>
          </w:p>
        </w:tc>
        <w:tc>
          <w:tcPr>
            <w:tcW w:w="1170" w:type="dxa"/>
            <w:shd w:val="clear" w:color="auto" w:fill="auto"/>
          </w:tcPr>
          <w:p w14:paraId="263C93C2" w14:textId="77777777" w:rsidR="00622137" w:rsidRPr="006B6B1C" w:rsidRDefault="00622137" w:rsidP="00CE7D91">
            <w:pPr>
              <w:rPr>
                <w:sz w:val="18"/>
                <w:szCs w:val="18"/>
              </w:rPr>
            </w:pPr>
            <w:r>
              <w:rPr>
                <w:sz w:val="18"/>
                <w:szCs w:val="18"/>
              </w:rPr>
              <w:t>IEBC 503.13</w:t>
            </w:r>
          </w:p>
        </w:tc>
        <w:tc>
          <w:tcPr>
            <w:tcW w:w="3870" w:type="dxa"/>
            <w:shd w:val="clear" w:color="auto" w:fill="auto"/>
          </w:tcPr>
          <w:p w14:paraId="7CFD3BEF" w14:textId="77777777" w:rsidR="00622137" w:rsidRPr="00095E0C" w:rsidRDefault="00622137" w:rsidP="00CE7D91">
            <w:pPr>
              <w:rPr>
                <w:sz w:val="18"/>
                <w:szCs w:val="18"/>
              </w:rPr>
            </w:pPr>
            <w:r w:rsidRPr="00095E0C">
              <w:rPr>
                <w:sz w:val="18"/>
                <w:szCs w:val="18"/>
              </w:rPr>
              <w:t xml:space="preserve">The text is moved out of the exception into paragraph 2, section 2.1, and "where approved" is added to section 2.1. </w:t>
            </w:r>
            <w:r>
              <w:rPr>
                <w:sz w:val="18"/>
                <w:szCs w:val="18"/>
              </w:rPr>
              <w:t>A</w:t>
            </w:r>
            <w:r w:rsidRPr="00095E0C">
              <w:rPr>
                <w:sz w:val="18"/>
                <w:szCs w:val="18"/>
              </w:rPr>
              <w:t>dds sub-section</w:t>
            </w:r>
            <w:r>
              <w:rPr>
                <w:sz w:val="18"/>
                <w:szCs w:val="18"/>
              </w:rPr>
              <w:t>s</w:t>
            </w:r>
            <w:r w:rsidRPr="00095E0C">
              <w:rPr>
                <w:sz w:val="18"/>
                <w:szCs w:val="18"/>
              </w:rPr>
              <w:t xml:space="preserve"> </w:t>
            </w:r>
            <w:r>
              <w:rPr>
                <w:sz w:val="18"/>
                <w:szCs w:val="18"/>
              </w:rPr>
              <w:t xml:space="preserve">2.1.1 and </w:t>
            </w:r>
            <w:r w:rsidRPr="00095E0C">
              <w:rPr>
                <w:sz w:val="18"/>
                <w:szCs w:val="18"/>
              </w:rPr>
              <w:t xml:space="preserve">2.1.2. </w:t>
            </w:r>
          </w:p>
        </w:tc>
        <w:tc>
          <w:tcPr>
            <w:tcW w:w="4540" w:type="dxa"/>
            <w:shd w:val="clear" w:color="auto" w:fill="auto"/>
          </w:tcPr>
          <w:p w14:paraId="19F14473" w14:textId="77777777" w:rsidR="00622137" w:rsidRPr="006B6B1C" w:rsidRDefault="00622137" w:rsidP="00CE7D91">
            <w:pPr>
              <w:ind w:left="-70"/>
              <w:rPr>
                <w:sz w:val="18"/>
                <w:szCs w:val="18"/>
              </w:rPr>
            </w:pPr>
            <w:r>
              <w:rPr>
                <w:sz w:val="18"/>
                <w:szCs w:val="18"/>
              </w:rPr>
              <w:t>C</w:t>
            </w:r>
            <w:r w:rsidRPr="00095E0C">
              <w:rPr>
                <w:sz w:val="18"/>
                <w:szCs w:val="18"/>
              </w:rPr>
              <w:t>larifies the applicability of the proposal and overall improves it, it does not change its original intent. It reflects comments heard from the ICC committee during the April 2022 Committee Action Hearings in Rochester NY and includes another IEBC propos</w:t>
            </w:r>
            <w:r>
              <w:rPr>
                <w:sz w:val="18"/>
                <w:szCs w:val="18"/>
              </w:rPr>
              <w:t>ed</w:t>
            </w:r>
            <w:r w:rsidRPr="00095E0C">
              <w:rPr>
                <w:sz w:val="18"/>
                <w:szCs w:val="18"/>
              </w:rPr>
              <w:t xml:space="preserve"> change (EB68) that </w:t>
            </w:r>
            <w:r>
              <w:rPr>
                <w:sz w:val="18"/>
                <w:szCs w:val="18"/>
              </w:rPr>
              <w:t>is anticipated to</w:t>
            </w:r>
            <w:r w:rsidRPr="00095E0C">
              <w:rPr>
                <w:sz w:val="18"/>
                <w:szCs w:val="18"/>
              </w:rPr>
              <w:t xml:space="preserve"> be incorporated in the 2024 IEBC.</w:t>
            </w:r>
            <w:r>
              <w:rPr>
                <w:sz w:val="18"/>
                <w:szCs w:val="18"/>
              </w:rPr>
              <w:t xml:space="preserve"> I</w:t>
            </w:r>
            <w:r w:rsidRPr="00095E0C">
              <w:rPr>
                <w:sz w:val="18"/>
                <w:szCs w:val="18"/>
              </w:rPr>
              <w:t xml:space="preserve">dentical changes </w:t>
            </w:r>
            <w:r>
              <w:rPr>
                <w:sz w:val="18"/>
                <w:szCs w:val="18"/>
              </w:rPr>
              <w:t xml:space="preserve">are made </w:t>
            </w:r>
            <w:r w:rsidRPr="00095E0C">
              <w:rPr>
                <w:sz w:val="18"/>
                <w:szCs w:val="18"/>
              </w:rPr>
              <w:t xml:space="preserve">in </w:t>
            </w:r>
            <w:r>
              <w:rPr>
                <w:sz w:val="18"/>
                <w:szCs w:val="18"/>
              </w:rPr>
              <w:t>S</w:t>
            </w:r>
            <w:r w:rsidRPr="00095E0C">
              <w:rPr>
                <w:sz w:val="18"/>
                <w:szCs w:val="18"/>
              </w:rPr>
              <w:t>ection 805.4</w:t>
            </w:r>
            <w:r>
              <w:rPr>
                <w:sz w:val="18"/>
                <w:szCs w:val="18"/>
              </w:rPr>
              <w:t>.</w:t>
            </w:r>
          </w:p>
        </w:tc>
      </w:tr>
      <w:tr w:rsidR="00622137" w:rsidRPr="006B6B1C" w14:paraId="7E9FC7DA" w14:textId="77777777" w:rsidTr="00CE7D91">
        <w:trPr>
          <w:trHeight w:val="458"/>
        </w:trPr>
        <w:tc>
          <w:tcPr>
            <w:tcW w:w="1728" w:type="dxa"/>
            <w:shd w:val="clear" w:color="auto" w:fill="auto"/>
          </w:tcPr>
          <w:p w14:paraId="22FE24AA" w14:textId="77777777" w:rsidR="00622137" w:rsidRPr="006B6B1C" w:rsidRDefault="00622137" w:rsidP="00CE7D91">
            <w:pPr>
              <w:jc w:val="center"/>
              <w:rPr>
                <w:sz w:val="18"/>
                <w:szCs w:val="18"/>
              </w:rPr>
            </w:pPr>
            <w:r w:rsidRPr="00095E0C">
              <w:rPr>
                <w:sz w:val="18"/>
                <w:szCs w:val="18"/>
              </w:rPr>
              <w:t>WAC 51-50-480805</w:t>
            </w:r>
          </w:p>
        </w:tc>
        <w:tc>
          <w:tcPr>
            <w:tcW w:w="1170" w:type="dxa"/>
            <w:shd w:val="clear" w:color="auto" w:fill="auto"/>
          </w:tcPr>
          <w:p w14:paraId="0AD1437C" w14:textId="77777777" w:rsidR="00622137" w:rsidRPr="006B6B1C" w:rsidRDefault="00622137" w:rsidP="00CE7D91">
            <w:pPr>
              <w:rPr>
                <w:sz w:val="18"/>
                <w:szCs w:val="18"/>
              </w:rPr>
            </w:pPr>
            <w:r>
              <w:rPr>
                <w:sz w:val="18"/>
                <w:szCs w:val="18"/>
              </w:rPr>
              <w:t>IEBC 805.4</w:t>
            </w:r>
          </w:p>
        </w:tc>
        <w:tc>
          <w:tcPr>
            <w:tcW w:w="3870" w:type="dxa"/>
            <w:shd w:val="clear" w:color="auto" w:fill="auto"/>
          </w:tcPr>
          <w:p w14:paraId="1916A897" w14:textId="77777777" w:rsidR="00622137" w:rsidRPr="006B6B1C" w:rsidRDefault="00622137" w:rsidP="00CE7D91">
            <w:pPr>
              <w:rPr>
                <w:sz w:val="18"/>
                <w:szCs w:val="18"/>
              </w:rPr>
            </w:pPr>
            <w:r w:rsidRPr="00095E0C">
              <w:rPr>
                <w:sz w:val="18"/>
                <w:szCs w:val="18"/>
              </w:rPr>
              <w:t xml:space="preserve">The text is moved out of the exception into paragraph 2, section 2.1, and "where approved" is added to section 2.1. </w:t>
            </w:r>
            <w:r>
              <w:rPr>
                <w:sz w:val="18"/>
                <w:szCs w:val="18"/>
              </w:rPr>
              <w:t>A</w:t>
            </w:r>
            <w:r w:rsidRPr="00095E0C">
              <w:rPr>
                <w:sz w:val="18"/>
                <w:szCs w:val="18"/>
              </w:rPr>
              <w:t>dds sub-section</w:t>
            </w:r>
            <w:r>
              <w:rPr>
                <w:sz w:val="18"/>
                <w:szCs w:val="18"/>
              </w:rPr>
              <w:t>s</w:t>
            </w:r>
            <w:r w:rsidRPr="00095E0C">
              <w:rPr>
                <w:sz w:val="18"/>
                <w:szCs w:val="18"/>
              </w:rPr>
              <w:t xml:space="preserve"> </w:t>
            </w:r>
            <w:r>
              <w:rPr>
                <w:sz w:val="18"/>
                <w:szCs w:val="18"/>
              </w:rPr>
              <w:t xml:space="preserve">2.1.1 and </w:t>
            </w:r>
            <w:r w:rsidRPr="00095E0C">
              <w:rPr>
                <w:sz w:val="18"/>
                <w:szCs w:val="18"/>
              </w:rPr>
              <w:t>2.1.2.</w:t>
            </w:r>
          </w:p>
        </w:tc>
        <w:tc>
          <w:tcPr>
            <w:tcW w:w="4540" w:type="dxa"/>
            <w:shd w:val="clear" w:color="auto" w:fill="auto"/>
          </w:tcPr>
          <w:p w14:paraId="154E79B5" w14:textId="77777777" w:rsidR="00622137" w:rsidRPr="006B6B1C" w:rsidRDefault="00622137" w:rsidP="00CE7D91">
            <w:pPr>
              <w:ind w:left="-70"/>
              <w:rPr>
                <w:sz w:val="18"/>
                <w:szCs w:val="18"/>
              </w:rPr>
            </w:pPr>
            <w:r>
              <w:rPr>
                <w:sz w:val="18"/>
                <w:szCs w:val="18"/>
              </w:rPr>
              <w:t>C</w:t>
            </w:r>
            <w:r w:rsidRPr="00095E0C">
              <w:rPr>
                <w:sz w:val="18"/>
                <w:szCs w:val="18"/>
              </w:rPr>
              <w:t xml:space="preserve">larifies the applicability of the proposal and overall improves it, it does not change its original intent. It reflects comments heard from the ICC committee during the April 2022 Committee Action Hearings in Rochester NY and includes another IEBC proposal change (EB68) that </w:t>
            </w:r>
            <w:r>
              <w:rPr>
                <w:sz w:val="18"/>
                <w:szCs w:val="18"/>
              </w:rPr>
              <w:t>is anticipated to</w:t>
            </w:r>
            <w:r w:rsidRPr="00095E0C">
              <w:rPr>
                <w:sz w:val="18"/>
                <w:szCs w:val="18"/>
              </w:rPr>
              <w:t xml:space="preserve"> be incorporated in the 2024 IEBC.</w:t>
            </w:r>
            <w:r>
              <w:rPr>
                <w:sz w:val="18"/>
                <w:szCs w:val="18"/>
              </w:rPr>
              <w:t xml:space="preserve"> I</w:t>
            </w:r>
            <w:r w:rsidRPr="00095E0C">
              <w:rPr>
                <w:sz w:val="18"/>
                <w:szCs w:val="18"/>
              </w:rPr>
              <w:t xml:space="preserve">dentical changes </w:t>
            </w:r>
            <w:r>
              <w:rPr>
                <w:sz w:val="18"/>
                <w:szCs w:val="18"/>
              </w:rPr>
              <w:t xml:space="preserve">are made </w:t>
            </w:r>
            <w:r w:rsidRPr="00095E0C">
              <w:rPr>
                <w:sz w:val="18"/>
                <w:szCs w:val="18"/>
              </w:rPr>
              <w:t xml:space="preserve">in </w:t>
            </w:r>
            <w:r>
              <w:rPr>
                <w:sz w:val="18"/>
                <w:szCs w:val="18"/>
              </w:rPr>
              <w:t>S</w:t>
            </w:r>
            <w:r w:rsidRPr="00095E0C">
              <w:rPr>
                <w:sz w:val="18"/>
                <w:szCs w:val="18"/>
              </w:rPr>
              <w:t>ection 503.13</w:t>
            </w:r>
            <w:r>
              <w:rPr>
                <w:sz w:val="18"/>
                <w:szCs w:val="18"/>
              </w:rPr>
              <w:t>.</w:t>
            </w:r>
          </w:p>
        </w:tc>
      </w:tr>
      <w:tr w:rsidR="00622137" w:rsidRPr="006B6B1C" w14:paraId="6293D01B" w14:textId="77777777" w:rsidTr="00CE7D91">
        <w:trPr>
          <w:trHeight w:val="458"/>
        </w:trPr>
        <w:tc>
          <w:tcPr>
            <w:tcW w:w="1728" w:type="dxa"/>
            <w:shd w:val="clear" w:color="auto" w:fill="auto"/>
          </w:tcPr>
          <w:p w14:paraId="52C2F1C0" w14:textId="77777777" w:rsidR="00622137" w:rsidRPr="00095E0C" w:rsidRDefault="00622137" w:rsidP="00CE7D91">
            <w:pPr>
              <w:jc w:val="center"/>
              <w:rPr>
                <w:sz w:val="18"/>
                <w:szCs w:val="18"/>
              </w:rPr>
            </w:pPr>
            <w:r>
              <w:rPr>
                <w:sz w:val="18"/>
                <w:szCs w:val="18"/>
              </w:rPr>
              <w:t>WAC 51-50-481401</w:t>
            </w:r>
          </w:p>
        </w:tc>
        <w:tc>
          <w:tcPr>
            <w:tcW w:w="1170" w:type="dxa"/>
            <w:shd w:val="clear" w:color="auto" w:fill="auto"/>
          </w:tcPr>
          <w:p w14:paraId="1BC140D2" w14:textId="77777777" w:rsidR="00622137" w:rsidRDefault="00622137" w:rsidP="00CE7D91">
            <w:pPr>
              <w:rPr>
                <w:sz w:val="18"/>
                <w:szCs w:val="18"/>
              </w:rPr>
            </w:pPr>
            <w:r>
              <w:rPr>
                <w:sz w:val="18"/>
                <w:szCs w:val="18"/>
              </w:rPr>
              <w:t>IEBC 1401.2</w:t>
            </w:r>
          </w:p>
        </w:tc>
        <w:tc>
          <w:tcPr>
            <w:tcW w:w="3870" w:type="dxa"/>
            <w:shd w:val="clear" w:color="auto" w:fill="auto"/>
          </w:tcPr>
          <w:p w14:paraId="5FE08B9C" w14:textId="77777777" w:rsidR="00622137" w:rsidRDefault="00622137" w:rsidP="00622137">
            <w:pPr>
              <w:pStyle w:val="ListParagraph"/>
              <w:numPr>
                <w:ilvl w:val="0"/>
                <w:numId w:val="5"/>
              </w:numPr>
              <w:ind w:left="209" w:hanging="180"/>
              <w:rPr>
                <w:sz w:val="18"/>
                <w:szCs w:val="18"/>
              </w:rPr>
            </w:pPr>
            <w:r w:rsidRPr="00985FC8">
              <w:rPr>
                <w:sz w:val="18"/>
                <w:szCs w:val="18"/>
              </w:rPr>
              <w:t xml:space="preserve">Deletes references which no longer exists: </w:t>
            </w:r>
          </w:p>
          <w:p w14:paraId="4458B8E9" w14:textId="77777777" w:rsidR="00622137" w:rsidRDefault="00622137" w:rsidP="00CE7D91">
            <w:pPr>
              <w:pStyle w:val="ListParagraph"/>
              <w:ind w:left="209"/>
              <w:rPr>
                <w:sz w:val="18"/>
                <w:szCs w:val="18"/>
              </w:rPr>
            </w:pPr>
            <w:r>
              <w:rPr>
                <w:sz w:val="18"/>
                <w:szCs w:val="18"/>
              </w:rPr>
              <w:t xml:space="preserve">51-54 WAC, 51-57 WAC, 51-11WAC, </w:t>
            </w:r>
          </w:p>
          <w:p w14:paraId="1ABAA94D" w14:textId="77777777" w:rsidR="00622137" w:rsidRDefault="00622137" w:rsidP="00CE7D91">
            <w:pPr>
              <w:pStyle w:val="ListParagraph"/>
              <w:ind w:left="209"/>
              <w:rPr>
                <w:sz w:val="18"/>
                <w:szCs w:val="18"/>
              </w:rPr>
            </w:pPr>
            <w:r>
              <w:rPr>
                <w:sz w:val="18"/>
                <w:szCs w:val="18"/>
              </w:rPr>
              <w:t>51-13WAC.</w:t>
            </w:r>
          </w:p>
          <w:p w14:paraId="05FD9C9C" w14:textId="77777777" w:rsidR="00622137" w:rsidRDefault="00622137" w:rsidP="00622137">
            <w:pPr>
              <w:pStyle w:val="ListParagraph"/>
              <w:numPr>
                <w:ilvl w:val="0"/>
                <w:numId w:val="5"/>
              </w:numPr>
              <w:ind w:left="209" w:hanging="180"/>
              <w:rPr>
                <w:sz w:val="18"/>
                <w:szCs w:val="18"/>
              </w:rPr>
            </w:pPr>
            <w:r>
              <w:rPr>
                <w:sz w:val="18"/>
                <w:szCs w:val="18"/>
              </w:rPr>
              <w:t xml:space="preserve">Adds the correct references: 51-54A WAC, </w:t>
            </w:r>
          </w:p>
          <w:p w14:paraId="6D6DB189" w14:textId="77777777" w:rsidR="00622137" w:rsidRPr="00985FC8" w:rsidRDefault="00622137" w:rsidP="00CE7D91">
            <w:pPr>
              <w:pStyle w:val="ListParagraph"/>
              <w:ind w:left="209"/>
              <w:rPr>
                <w:sz w:val="18"/>
                <w:szCs w:val="18"/>
              </w:rPr>
            </w:pPr>
            <w:r>
              <w:rPr>
                <w:sz w:val="18"/>
                <w:szCs w:val="18"/>
              </w:rPr>
              <w:t>51-11C WAC, 51-11R WAC.</w:t>
            </w:r>
          </w:p>
        </w:tc>
        <w:tc>
          <w:tcPr>
            <w:tcW w:w="4540" w:type="dxa"/>
            <w:shd w:val="clear" w:color="auto" w:fill="auto"/>
          </w:tcPr>
          <w:p w14:paraId="2440BCB2" w14:textId="77777777" w:rsidR="00622137" w:rsidRDefault="00622137" w:rsidP="00CE7D91">
            <w:pPr>
              <w:ind w:left="-70"/>
              <w:rPr>
                <w:sz w:val="18"/>
                <w:szCs w:val="18"/>
              </w:rPr>
            </w:pPr>
            <w:r>
              <w:rPr>
                <w:sz w:val="18"/>
                <w:szCs w:val="18"/>
              </w:rPr>
              <w:t xml:space="preserve">The modification is intended to correct references to building codes that no longer exist. </w:t>
            </w:r>
          </w:p>
        </w:tc>
      </w:tr>
    </w:tbl>
    <w:p w14:paraId="14A83E88" w14:textId="77777777" w:rsidR="00757163" w:rsidRDefault="00757163" w:rsidP="00640A83">
      <w:pPr>
        <w:spacing w:before="40" w:after="40"/>
      </w:pPr>
    </w:p>
    <w:sectPr w:rsidR="00757163" w:rsidSect="00C03675">
      <w:headerReference w:type="default" r:id="rId14"/>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AB6" w14:textId="77777777" w:rsidR="00FA428B" w:rsidRDefault="00FA428B" w:rsidP="00E166C2">
      <w:pPr>
        <w:spacing w:after="0" w:line="240" w:lineRule="auto"/>
      </w:pPr>
      <w:r>
        <w:separator/>
      </w:r>
    </w:p>
  </w:endnote>
  <w:endnote w:type="continuationSeparator" w:id="0">
    <w:p w14:paraId="66A54B67" w14:textId="77777777" w:rsidR="00FA428B" w:rsidRDefault="00FA428B" w:rsidP="00E1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74524"/>
      <w:docPartObj>
        <w:docPartGallery w:val="Page Numbers (Bottom of Page)"/>
        <w:docPartUnique/>
      </w:docPartObj>
    </w:sdtPr>
    <w:sdtEndPr>
      <w:rPr>
        <w:noProof/>
      </w:rPr>
    </w:sdtEndPr>
    <w:sdtContent>
      <w:p w14:paraId="2F581605" w14:textId="77777777" w:rsidR="00FA428B" w:rsidRDefault="00FA428B">
        <w:pPr>
          <w:pStyle w:val="Footer"/>
          <w:jc w:val="center"/>
        </w:pPr>
        <w:r>
          <w:fldChar w:fldCharType="begin"/>
        </w:r>
        <w:r>
          <w:instrText xml:space="preserve"> PAGE   \* MERGEFORMAT </w:instrText>
        </w:r>
        <w:r>
          <w:fldChar w:fldCharType="separate"/>
        </w:r>
        <w:r w:rsidR="004529CC">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9BC5" w14:textId="77777777" w:rsidR="00FA428B" w:rsidRDefault="00FA428B" w:rsidP="00E166C2">
      <w:pPr>
        <w:spacing w:after="0" w:line="240" w:lineRule="auto"/>
      </w:pPr>
      <w:r>
        <w:separator/>
      </w:r>
    </w:p>
  </w:footnote>
  <w:footnote w:type="continuationSeparator" w:id="0">
    <w:p w14:paraId="49782325" w14:textId="77777777" w:rsidR="00FA428B" w:rsidRDefault="00FA428B" w:rsidP="00E1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3CDB" w14:textId="734DAB77" w:rsidR="00C03675" w:rsidRPr="00B233BF" w:rsidRDefault="00BE0B9A" w:rsidP="00BE0B9A">
    <w:pPr>
      <w:spacing w:before="40" w:after="40"/>
      <w:jc w:val="center"/>
      <w:rPr>
        <w:b/>
        <w:bCs/>
        <w:sz w:val="32"/>
        <w:szCs w:val="32"/>
      </w:rPr>
    </w:pPr>
    <w:r w:rsidRPr="00B233BF">
      <w:rPr>
        <w:b/>
        <w:bCs/>
        <w:sz w:val="32"/>
        <w:szCs w:val="32"/>
      </w:rPr>
      <w:t xml:space="preserve">2021 </w:t>
    </w:r>
    <w:r w:rsidR="00C03675" w:rsidRPr="00B233BF">
      <w:rPr>
        <w:b/>
        <w:bCs/>
        <w:sz w:val="32"/>
        <w:szCs w:val="32"/>
      </w:rPr>
      <w:t xml:space="preserve">International </w:t>
    </w:r>
    <w:r w:rsidR="00C033B5">
      <w:rPr>
        <w:b/>
        <w:bCs/>
        <w:sz w:val="32"/>
        <w:szCs w:val="32"/>
      </w:rPr>
      <w:t xml:space="preserve">Existing Building </w:t>
    </w:r>
    <w:r w:rsidR="00C03675" w:rsidRPr="00B233BF">
      <w:rPr>
        <w:b/>
        <w:bCs/>
        <w:sz w:val="32"/>
        <w:szCs w:val="32"/>
      </w:rPr>
      <w:t>Code</w:t>
    </w:r>
  </w:p>
  <w:p w14:paraId="5D39DAC6" w14:textId="5A8FACFF" w:rsidR="00C03675" w:rsidRPr="00B233BF" w:rsidRDefault="005F08B2" w:rsidP="005F08B2">
    <w:pPr>
      <w:spacing w:before="40" w:after="40"/>
      <w:jc w:val="center"/>
      <w:rPr>
        <w:b/>
        <w:bCs/>
        <w:sz w:val="32"/>
        <w:szCs w:val="32"/>
      </w:rPr>
    </w:pPr>
    <w:r w:rsidRPr="005F08B2">
      <w:rPr>
        <w:b/>
        <w:bCs/>
        <w:sz w:val="32"/>
        <w:szCs w:val="32"/>
      </w:rPr>
      <w:t>Concise Explanatory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5FC"/>
    <w:multiLevelType w:val="hybridMultilevel"/>
    <w:tmpl w:val="D80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9EA"/>
    <w:multiLevelType w:val="hybridMultilevel"/>
    <w:tmpl w:val="139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FDA"/>
    <w:multiLevelType w:val="hybridMultilevel"/>
    <w:tmpl w:val="776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54E82"/>
    <w:multiLevelType w:val="hybridMultilevel"/>
    <w:tmpl w:val="3F8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7D9B"/>
    <w:multiLevelType w:val="hybridMultilevel"/>
    <w:tmpl w:val="964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22"/>
    <w:rsid w:val="0005578E"/>
    <w:rsid w:val="00055B76"/>
    <w:rsid w:val="000577F6"/>
    <w:rsid w:val="00064E2D"/>
    <w:rsid w:val="00067FC8"/>
    <w:rsid w:val="000B77D6"/>
    <w:rsid w:val="000F0154"/>
    <w:rsid w:val="000F51C0"/>
    <w:rsid w:val="001102DE"/>
    <w:rsid w:val="00122817"/>
    <w:rsid w:val="001300F5"/>
    <w:rsid w:val="0013556D"/>
    <w:rsid w:val="00137B83"/>
    <w:rsid w:val="00185CC9"/>
    <w:rsid w:val="00186785"/>
    <w:rsid w:val="001B4EFA"/>
    <w:rsid w:val="001B7316"/>
    <w:rsid w:val="001E3AC0"/>
    <w:rsid w:val="00215003"/>
    <w:rsid w:val="00217298"/>
    <w:rsid w:val="00223992"/>
    <w:rsid w:val="002305F8"/>
    <w:rsid w:val="0023726E"/>
    <w:rsid w:val="00252CBA"/>
    <w:rsid w:val="0026026C"/>
    <w:rsid w:val="00264F95"/>
    <w:rsid w:val="00295CBE"/>
    <w:rsid w:val="002D652E"/>
    <w:rsid w:val="002E3DE4"/>
    <w:rsid w:val="003166E0"/>
    <w:rsid w:val="00325059"/>
    <w:rsid w:val="00345686"/>
    <w:rsid w:val="003545E9"/>
    <w:rsid w:val="0035504B"/>
    <w:rsid w:val="00384DC0"/>
    <w:rsid w:val="003D27CB"/>
    <w:rsid w:val="003E12A8"/>
    <w:rsid w:val="004510C7"/>
    <w:rsid w:val="004529CC"/>
    <w:rsid w:val="00457AD5"/>
    <w:rsid w:val="004604E0"/>
    <w:rsid w:val="00475A6A"/>
    <w:rsid w:val="00476F0F"/>
    <w:rsid w:val="0048069A"/>
    <w:rsid w:val="004C51B1"/>
    <w:rsid w:val="004E532B"/>
    <w:rsid w:val="004E7CA4"/>
    <w:rsid w:val="004F1B0E"/>
    <w:rsid w:val="00504427"/>
    <w:rsid w:val="00557139"/>
    <w:rsid w:val="00560B20"/>
    <w:rsid w:val="005B395C"/>
    <w:rsid w:val="005D1F5F"/>
    <w:rsid w:val="005E0D6B"/>
    <w:rsid w:val="005E3288"/>
    <w:rsid w:val="005F08B2"/>
    <w:rsid w:val="005F620E"/>
    <w:rsid w:val="00622137"/>
    <w:rsid w:val="00624624"/>
    <w:rsid w:val="00633A42"/>
    <w:rsid w:val="00640058"/>
    <w:rsid w:val="00640A83"/>
    <w:rsid w:val="00662877"/>
    <w:rsid w:val="006C3D97"/>
    <w:rsid w:val="006C696A"/>
    <w:rsid w:val="006D304E"/>
    <w:rsid w:val="006E0BBA"/>
    <w:rsid w:val="00704104"/>
    <w:rsid w:val="007214A5"/>
    <w:rsid w:val="00727CA3"/>
    <w:rsid w:val="00743C22"/>
    <w:rsid w:val="00757163"/>
    <w:rsid w:val="0076135C"/>
    <w:rsid w:val="00767473"/>
    <w:rsid w:val="00776434"/>
    <w:rsid w:val="007B43C4"/>
    <w:rsid w:val="007D4020"/>
    <w:rsid w:val="007F514F"/>
    <w:rsid w:val="0080243F"/>
    <w:rsid w:val="00823392"/>
    <w:rsid w:val="0083770D"/>
    <w:rsid w:val="0086160C"/>
    <w:rsid w:val="008820B6"/>
    <w:rsid w:val="00882365"/>
    <w:rsid w:val="0089071B"/>
    <w:rsid w:val="00894767"/>
    <w:rsid w:val="008B47D1"/>
    <w:rsid w:val="008C3DF6"/>
    <w:rsid w:val="008E5A2F"/>
    <w:rsid w:val="008F3112"/>
    <w:rsid w:val="009001B2"/>
    <w:rsid w:val="00914270"/>
    <w:rsid w:val="009175B0"/>
    <w:rsid w:val="00924CFA"/>
    <w:rsid w:val="009267CB"/>
    <w:rsid w:val="009353B5"/>
    <w:rsid w:val="00947D9F"/>
    <w:rsid w:val="0095590B"/>
    <w:rsid w:val="00967D4A"/>
    <w:rsid w:val="0098777F"/>
    <w:rsid w:val="00990458"/>
    <w:rsid w:val="009F56AB"/>
    <w:rsid w:val="00A30297"/>
    <w:rsid w:val="00A53419"/>
    <w:rsid w:val="00A7413D"/>
    <w:rsid w:val="00A749F3"/>
    <w:rsid w:val="00AA438C"/>
    <w:rsid w:val="00AA5D26"/>
    <w:rsid w:val="00AB02B0"/>
    <w:rsid w:val="00AB7C67"/>
    <w:rsid w:val="00AD4DDB"/>
    <w:rsid w:val="00AE77F8"/>
    <w:rsid w:val="00B20C7F"/>
    <w:rsid w:val="00B233BF"/>
    <w:rsid w:val="00B274BB"/>
    <w:rsid w:val="00B35EDC"/>
    <w:rsid w:val="00B628E3"/>
    <w:rsid w:val="00B7237B"/>
    <w:rsid w:val="00B90869"/>
    <w:rsid w:val="00BA67C3"/>
    <w:rsid w:val="00BB3867"/>
    <w:rsid w:val="00BD0230"/>
    <w:rsid w:val="00BE0B9A"/>
    <w:rsid w:val="00BE22B3"/>
    <w:rsid w:val="00C033B5"/>
    <w:rsid w:val="00C03675"/>
    <w:rsid w:val="00C06CF2"/>
    <w:rsid w:val="00C20AED"/>
    <w:rsid w:val="00C40BF8"/>
    <w:rsid w:val="00C44C73"/>
    <w:rsid w:val="00C52C0B"/>
    <w:rsid w:val="00C719F9"/>
    <w:rsid w:val="00C8634D"/>
    <w:rsid w:val="00CB0F77"/>
    <w:rsid w:val="00CC7C44"/>
    <w:rsid w:val="00CF79B9"/>
    <w:rsid w:val="00D165C3"/>
    <w:rsid w:val="00D430BA"/>
    <w:rsid w:val="00D464A8"/>
    <w:rsid w:val="00D47892"/>
    <w:rsid w:val="00D80723"/>
    <w:rsid w:val="00D974C8"/>
    <w:rsid w:val="00DB6B0B"/>
    <w:rsid w:val="00DC2638"/>
    <w:rsid w:val="00DD2842"/>
    <w:rsid w:val="00E05F42"/>
    <w:rsid w:val="00E060C4"/>
    <w:rsid w:val="00E166C2"/>
    <w:rsid w:val="00E16940"/>
    <w:rsid w:val="00E26375"/>
    <w:rsid w:val="00E3005E"/>
    <w:rsid w:val="00E40F91"/>
    <w:rsid w:val="00E42772"/>
    <w:rsid w:val="00E543F8"/>
    <w:rsid w:val="00E769A7"/>
    <w:rsid w:val="00EA116B"/>
    <w:rsid w:val="00EA47E4"/>
    <w:rsid w:val="00EC56F6"/>
    <w:rsid w:val="00ED5F0F"/>
    <w:rsid w:val="00F170DC"/>
    <w:rsid w:val="00F27992"/>
    <w:rsid w:val="00F654EE"/>
    <w:rsid w:val="00F83340"/>
    <w:rsid w:val="00F87F0F"/>
    <w:rsid w:val="00F92030"/>
    <w:rsid w:val="00F95504"/>
    <w:rsid w:val="00FA1A10"/>
    <w:rsid w:val="00FA428B"/>
    <w:rsid w:val="00FD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69502B"/>
  <w15:chartTrackingRefBased/>
  <w15:docId w15:val="{F275C4C4-2230-4D6D-BD7D-C7AEAC1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C8"/>
  </w:style>
  <w:style w:type="paragraph" w:styleId="Heading4">
    <w:name w:val="heading 4"/>
    <w:basedOn w:val="Normal"/>
    <w:next w:val="Normal"/>
    <w:link w:val="Heading4Char"/>
    <w:uiPriority w:val="9"/>
    <w:semiHidden/>
    <w:unhideWhenUsed/>
    <w:qFormat/>
    <w:rsid w:val="00D16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2"/>
    <w:rPr>
      <w:color w:val="087629"/>
      <w:u w:val="single"/>
    </w:rPr>
  </w:style>
  <w:style w:type="paragraph" w:styleId="Header">
    <w:name w:val="header"/>
    <w:basedOn w:val="Normal"/>
    <w:link w:val="HeaderChar"/>
    <w:uiPriority w:val="99"/>
    <w:unhideWhenUsed/>
    <w:rsid w:val="00E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C2"/>
  </w:style>
  <w:style w:type="paragraph" w:styleId="Footer">
    <w:name w:val="footer"/>
    <w:basedOn w:val="Normal"/>
    <w:link w:val="FooterChar"/>
    <w:uiPriority w:val="99"/>
    <w:unhideWhenUsed/>
    <w:rsid w:val="00E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C2"/>
  </w:style>
  <w:style w:type="character" w:styleId="FollowedHyperlink">
    <w:name w:val="FollowedHyperlink"/>
    <w:basedOn w:val="DefaultParagraphFont"/>
    <w:uiPriority w:val="99"/>
    <w:semiHidden/>
    <w:unhideWhenUsed/>
    <w:rsid w:val="00AE77F8"/>
    <w:rPr>
      <w:color w:val="954F72" w:themeColor="followedHyperlink"/>
      <w:u w:val="single"/>
    </w:rPr>
  </w:style>
  <w:style w:type="paragraph" w:styleId="ListParagraph">
    <w:name w:val="List Paragraph"/>
    <w:basedOn w:val="Normal"/>
    <w:uiPriority w:val="34"/>
    <w:qFormat/>
    <w:rsid w:val="00C719F9"/>
    <w:pPr>
      <w:ind w:left="720"/>
      <w:contextualSpacing/>
    </w:pPr>
  </w:style>
  <w:style w:type="paragraph" w:customStyle="1" w:styleId="Default">
    <w:name w:val="Default"/>
    <w:rsid w:val="00EA116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4DC0"/>
    <w:rPr>
      <w:color w:val="605E5C"/>
      <w:shd w:val="clear" w:color="auto" w:fill="E1DFDD"/>
    </w:rPr>
  </w:style>
  <w:style w:type="character" w:styleId="CommentReference">
    <w:name w:val="annotation reference"/>
    <w:basedOn w:val="DefaultParagraphFont"/>
    <w:uiPriority w:val="99"/>
    <w:semiHidden/>
    <w:unhideWhenUsed/>
    <w:rsid w:val="003166E0"/>
    <w:rPr>
      <w:sz w:val="16"/>
      <w:szCs w:val="16"/>
    </w:rPr>
  </w:style>
  <w:style w:type="character" w:customStyle="1" w:styleId="Heading4Char">
    <w:name w:val="Heading 4 Char"/>
    <w:basedOn w:val="DefaultParagraphFont"/>
    <w:link w:val="Heading4"/>
    <w:uiPriority w:val="9"/>
    <w:semiHidden/>
    <w:rsid w:val="00D16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9072">
      <w:bodyDiv w:val="1"/>
      <w:marLeft w:val="0"/>
      <w:marRight w:val="0"/>
      <w:marTop w:val="0"/>
      <w:marBottom w:val="0"/>
      <w:divBdr>
        <w:top w:val="none" w:sz="0" w:space="0" w:color="auto"/>
        <w:left w:val="none" w:sz="0" w:space="0" w:color="auto"/>
        <w:bottom w:val="none" w:sz="0" w:space="0" w:color="auto"/>
        <w:right w:val="none" w:sz="0" w:space="0" w:color="auto"/>
      </w:divBdr>
    </w:div>
    <w:div w:id="907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cc.wa.gov/sites/default/files/2022-10/WABO_IEBC%20Sections%20503.13%20and%20805.4.pdf" TargetMode="External"/><Relationship Id="rId13" Type="http://schemas.openxmlformats.org/officeDocument/2006/relationships/hyperlink" Target="https://sbcc.wa.gov/sites/default/files/2022-10/Chris%20Edmark_IEBC_21-GP2-029.pdf" TargetMode="External"/><Relationship Id="rId3" Type="http://schemas.openxmlformats.org/officeDocument/2006/relationships/settings" Target="settings.xml"/><Relationship Id="rId7" Type="http://schemas.openxmlformats.org/officeDocument/2006/relationships/hyperlink" Target="https://sbcc.wa.gov/sites/default/files/2022-10/SDCI_IEBC%20Section%20401.4.pdf" TargetMode="External"/><Relationship Id="rId12" Type="http://schemas.openxmlformats.org/officeDocument/2006/relationships/hyperlink" Target="https://youtu.be/3HvjN23OVv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cc.wa.gov/media/570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bcc.wa.gov/sites/default/files/2022-08/WSR_OTS%20Combined_WAC%2051-50_IBC.pdf" TargetMode="External"/><Relationship Id="rId4" Type="http://schemas.openxmlformats.org/officeDocument/2006/relationships/webSettings" Target="webSettings.xml"/><Relationship Id="rId9" Type="http://schemas.openxmlformats.org/officeDocument/2006/relationships/hyperlink" Target="https://sbcc.wa.gov/sites/default/files/2022-10/Chris%20Edmark_IEBC_21-GP2-02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DA1DDC-AE27-41CF-81FD-EE83359B5E2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Braaksma, Krista (DES)</dc:creator>
  <cp:keywords/>
  <dc:description/>
  <cp:lastModifiedBy>Curb, Dustin (DES)</cp:lastModifiedBy>
  <cp:revision>10</cp:revision>
  <cp:lastPrinted>2019-10-10T21:55:00Z</cp:lastPrinted>
  <dcterms:created xsi:type="dcterms:W3CDTF">2022-11-16T16:41:00Z</dcterms:created>
  <dcterms:modified xsi:type="dcterms:W3CDTF">2022-12-28T16:42:00Z</dcterms:modified>
</cp:coreProperties>
</file>