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7A64" w14:textId="77777777" w:rsidR="002A15CB" w:rsidRPr="00D96B31" w:rsidRDefault="002A15CB" w:rsidP="000160A5">
      <w:pPr>
        <w:tabs>
          <w:tab w:val="left" w:pos="-720"/>
        </w:tabs>
        <w:jc w:val="center"/>
        <w:rPr>
          <w:rFonts w:ascii="Times New Roman" w:hAnsi="Times New Roman"/>
          <w:b/>
        </w:rPr>
      </w:pPr>
    </w:p>
    <w:p w14:paraId="1DC936B5" w14:textId="77777777" w:rsidR="008806BC" w:rsidRDefault="008806BC" w:rsidP="000160A5">
      <w:pPr>
        <w:tabs>
          <w:tab w:val="left" w:pos="-720"/>
        </w:tabs>
        <w:jc w:val="center"/>
        <w:rPr>
          <w:rFonts w:ascii="Times New Roman" w:hAnsi="Times New Roman"/>
        </w:rPr>
      </w:pPr>
    </w:p>
    <w:p w14:paraId="4B447234"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1.  State Building Code to be Amended</w:t>
      </w:r>
      <w:r w:rsidR="00CC1473">
        <w:rPr>
          <w:rFonts w:ascii="Times New Roman" w:hAnsi="Times New Roman"/>
          <w:b/>
        </w:rPr>
        <w:t>:</w:t>
      </w:r>
    </w:p>
    <w:p w14:paraId="1BDE146D" w14:textId="7D5D043D"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5D1D09">
        <w:rPr>
          <w:rFonts w:ascii="Times New Roman" w:hAnsi="Times New Roman"/>
          <w:szCs w:val="24"/>
        </w:rPr>
        <w:fldChar w:fldCharType="begin">
          <w:ffData>
            <w:name w:val=""/>
            <w:enabled/>
            <w:calcOnExit w:val="0"/>
            <w:checkBox>
              <w:sizeAuto/>
              <w:default w:val="1"/>
            </w:checkBox>
          </w:ffData>
        </w:fldChar>
      </w:r>
      <w:r w:rsidR="005D1D09">
        <w:rPr>
          <w:rFonts w:ascii="Times New Roman" w:hAnsi="Times New Roman"/>
          <w:szCs w:val="24"/>
        </w:rPr>
        <w:instrText xml:space="preserve"> FORMCHECKBOX </w:instrText>
      </w:r>
      <w:r w:rsidR="005D1D09">
        <w:rPr>
          <w:rFonts w:ascii="Times New Roman" w:hAnsi="Times New Roman"/>
          <w:szCs w:val="24"/>
        </w:rPr>
      </w:r>
      <w:r w:rsidR="005D1D09">
        <w:rPr>
          <w:rFonts w:ascii="Times New Roman" w:hAnsi="Times New Roman"/>
          <w:szCs w:val="24"/>
        </w:rPr>
        <w:fldChar w:fldCharType="separate"/>
      </w:r>
      <w:r w:rsidR="005D1D09">
        <w:rPr>
          <w:rFonts w:ascii="Times New Roman" w:hAnsi="Times New Roman"/>
          <w:szCs w:val="24"/>
        </w:rPr>
        <w:fldChar w:fldCharType="end"/>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Mechanical Code</w:t>
      </w:r>
    </w:p>
    <w:p w14:paraId="31C263C7" w14:textId="77777777" w:rsidR="00BB1D76" w:rsidRDefault="00BB1D76" w:rsidP="00C00030">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Fuel Gas Code</w:t>
      </w:r>
    </w:p>
    <w:p w14:paraId="097A9C64"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szCs w:val="24"/>
        </w:rPr>
        <w:t xml:space="preserve"> </w:t>
      </w:r>
      <w:r w:rsidR="00C00030">
        <w:rPr>
          <w:rFonts w:ascii="Times New Roman" w:hAnsi="Times New Roman"/>
        </w:rPr>
        <w:t>NFPA 54 National Fuel Gas Code</w:t>
      </w:r>
    </w:p>
    <w:p w14:paraId="3FCE6CAA"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International Residential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NFPA 58 Liquefied Petroleum Gas Code</w:t>
      </w:r>
    </w:p>
    <w:p w14:paraId="6D2B8268"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Pr>
          <w:rFonts w:ascii="Times New Roman" w:hAnsi="Times New Roman"/>
        </w:rPr>
        <w:t xml:space="preserve">  </w:t>
      </w:r>
      <w:r w:rsidR="00C00030">
        <w:rPr>
          <w:rFonts w:ascii="Times New Roman" w:hAnsi="Times New Roman"/>
        </w:rPr>
        <w:t>Wildland Urban Interface Code</w:t>
      </w:r>
    </w:p>
    <w:p w14:paraId="3936C904" w14:textId="77777777"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3146D" w:rsidRPr="0009666D">
        <w:rPr>
          <w:rFonts w:ascii="Times New Roman" w:hAnsi="Times New Roman"/>
          <w:szCs w:val="24"/>
        </w:rPr>
      </w:r>
      <w:r w:rsidR="0033146D" w:rsidRPr="0009666D">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C00030">
        <w:rPr>
          <w:rFonts w:ascii="Times New Roman" w:hAnsi="Times New Roman"/>
        </w:rPr>
        <w:t xml:space="preserve">For the Washington State Energy Code, please see specialized </w:t>
      </w:r>
      <w:hyperlink r:id="rId11" w:history="1">
        <w:r w:rsidR="00C00030" w:rsidRPr="00C00030">
          <w:rPr>
            <w:rStyle w:val="Hyperlink"/>
            <w:rFonts w:ascii="Times New Roman" w:hAnsi="Times New Roman"/>
          </w:rPr>
          <w:t>energy code forms</w:t>
        </w:r>
        <w:r w:rsidR="00C43DE9" w:rsidRPr="00C00030">
          <w:rPr>
            <w:rStyle w:val="Hyperlink"/>
            <w:rFonts w:ascii="Times New Roman" w:hAnsi="Times New Roman"/>
            <w:szCs w:val="24"/>
          </w:rPr>
          <w:t xml:space="preserve"> </w:t>
        </w:r>
      </w:hyperlink>
    </w:p>
    <w:p w14:paraId="05CA7466" w14:textId="77777777"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14:paraId="42E02DA5" w14:textId="7E682702" w:rsidR="00243532" w:rsidRDefault="00BB1D76" w:rsidP="00BB1D76">
      <w:pPr>
        <w:tabs>
          <w:tab w:val="left" w:pos="-720"/>
        </w:tabs>
        <w:spacing w:before="160"/>
        <w:rPr>
          <w:rFonts w:ascii="Times New Roman" w:hAnsi="Times New Roman"/>
          <w:b/>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sidR="00B9636D" w:rsidRPr="00BB1B15">
        <w:rPr>
          <w:rFonts w:ascii="Times New Roman" w:hAnsi="Times New Roman"/>
          <w:szCs w:val="24"/>
        </w:rPr>
        <w:t>New Appendix Q</w:t>
      </w:r>
      <w:r w:rsidRPr="00BB1B15">
        <w:rPr>
          <w:rFonts w:ascii="Times New Roman" w:hAnsi="Times New Roman"/>
          <w:b/>
        </w:rPr>
        <w:tab/>
      </w:r>
    </w:p>
    <w:p w14:paraId="2D43DC73" w14:textId="77777777" w:rsidR="00243532" w:rsidRDefault="00243532" w:rsidP="00243532">
      <w:pPr>
        <w:tabs>
          <w:tab w:val="left" w:pos="-720"/>
        </w:tabs>
        <w:rPr>
          <w:rFonts w:ascii="Times New Roman" w:hAnsi="Times New Roman"/>
          <w:sz w:val="20"/>
        </w:rPr>
      </w:pPr>
      <w:r>
        <w:rPr>
          <w:rFonts w:ascii="Times New Roman" w:hAnsi="Times New Roman"/>
          <w:b/>
        </w:rPr>
        <w:tab/>
      </w:r>
      <w:r w:rsidRPr="00243532">
        <w:rPr>
          <w:rFonts w:ascii="Times New Roman" w:hAnsi="Times New Roman"/>
          <w:sz w:val="20"/>
        </w:rPr>
        <w:t>(e.g.:  Section: R403.2)</w:t>
      </w:r>
    </w:p>
    <w:p w14:paraId="79183B6E" w14:textId="0D7FE45B" w:rsidR="00B9636D" w:rsidRDefault="00B9636D" w:rsidP="00243532">
      <w:pPr>
        <w:tabs>
          <w:tab w:val="left" w:pos="-720"/>
        </w:tabs>
        <w:rPr>
          <w:rFonts w:ascii="Times New Roman" w:hAnsi="Times New Roman"/>
          <w:sz w:val="20"/>
        </w:rPr>
      </w:pPr>
      <w:r>
        <w:rPr>
          <w:rFonts w:ascii="Times New Roman" w:hAnsi="Times New Roman"/>
          <w:sz w:val="20"/>
        </w:rPr>
        <w:tab/>
      </w:r>
    </w:p>
    <w:p w14:paraId="1F6CE286" w14:textId="77777777" w:rsidR="00243532" w:rsidRPr="00243532" w:rsidRDefault="00243532" w:rsidP="00243532">
      <w:pPr>
        <w:tabs>
          <w:tab w:val="left" w:pos="-720"/>
        </w:tabs>
        <w:rPr>
          <w:rFonts w:ascii="Times New Roman" w:hAnsi="Times New Roman"/>
          <w:b/>
          <w:sz w:val="20"/>
        </w:rPr>
      </w:pPr>
    </w:p>
    <w:p w14:paraId="2F3AF1BE" w14:textId="53BFDB4B"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r w:rsidR="00BB1B15" w:rsidRPr="00BB1B15">
        <w:rPr>
          <w:rFonts w:ascii="Times New Roman" w:hAnsi="Times New Roman"/>
          <w:bCs/>
          <w:szCs w:val="24"/>
        </w:rPr>
        <w:t xml:space="preserve">Appendix Q: </w:t>
      </w:r>
      <w:r w:rsidR="00B9636D" w:rsidRPr="00BB1B15">
        <w:rPr>
          <w:rStyle w:val="normaltextrun"/>
          <w:rFonts w:ascii="Times New Roman" w:hAnsi="Times New Roman"/>
          <w:bCs/>
          <w:szCs w:val="24"/>
        </w:rPr>
        <w:t>Single Exit Provisions for Multifamily up to 6 stories</w:t>
      </w:r>
      <w:r w:rsidR="00B9636D" w:rsidRPr="00BB1B15">
        <w:rPr>
          <w:rStyle w:val="eop"/>
          <w:rFonts w:ascii="Times New Roman" w:hAnsi="Times New Roman"/>
          <w:bCs/>
          <w:szCs w:val="24"/>
        </w:rPr>
        <w:t> </w:t>
      </w:r>
    </w:p>
    <w:p w14:paraId="0358CF4F" w14:textId="77777777" w:rsidR="00BB1D76" w:rsidRPr="00243532" w:rsidRDefault="004A172E" w:rsidP="00BB1D76">
      <w:pPr>
        <w:tabs>
          <w:tab w:val="left" w:pos="-720"/>
        </w:tabs>
        <w:rPr>
          <w:rFonts w:ascii="Times New Roman" w:hAnsi="Times New Roman"/>
          <w:sz w:val="20"/>
        </w:rPr>
      </w:pPr>
      <w:r>
        <w:rPr>
          <w:rFonts w:ascii="Times New Roman" w:hAnsi="Times New Roman"/>
        </w:rPr>
        <w:tab/>
      </w:r>
      <w:r w:rsidR="00243532" w:rsidRPr="00243532">
        <w:rPr>
          <w:rFonts w:ascii="Times New Roman" w:hAnsi="Times New Roman"/>
          <w:sz w:val="20"/>
        </w:rPr>
        <w:t>(</w:t>
      </w:r>
      <w:proofErr w:type="spellStart"/>
      <w:r w:rsidR="00243532" w:rsidRPr="00243532">
        <w:rPr>
          <w:rFonts w:ascii="Times New Roman" w:hAnsi="Times New Roman"/>
          <w:sz w:val="20"/>
        </w:rPr>
        <w:t>e.g</w:t>
      </w:r>
      <w:proofErr w:type="spellEnd"/>
      <w:r w:rsidR="00D17C4C" w:rsidRPr="00243532">
        <w:rPr>
          <w:rFonts w:ascii="Times New Roman" w:hAnsi="Times New Roman"/>
          <w:sz w:val="20"/>
        </w:rPr>
        <w:t>:</w:t>
      </w:r>
      <w:r w:rsidR="00256274" w:rsidRPr="00243532">
        <w:rPr>
          <w:rFonts w:ascii="Times New Roman" w:hAnsi="Times New Roman"/>
          <w:sz w:val="20"/>
        </w:rPr>
        <w:t xml:space="preserve"> Footings for wood foundations)</w:t>
      </w:r>
    </w:p>
    <w:p w14:paraId="0115AF8B" w14:textId="4B4BD681" w:rsidR="00CC1473" w:rsidRPr="00B9636D" w:rsidRDefault="00B9636D" w:rsidP="00BB1D76">
      <w:pPr>
        <w:tabs>
          <w:tab w:val="left" w:pos="-720"/>
        </w:tabs>
        <w:rPr>
          <w:rFonts w:ascii="Times New Roman" w:hAnsi="Times New Roman"/>
          <w:sz w:val="20"/>
        </w:rPr>
      </w:pPr>
      <w:r>
        <w:rPr>
          <w:rFonts w:ascii="Times New Roman" w:hAnsi="Times New Roman"/>
        </w:rPr>
        <w:tab/>
      </w:r>
    </w:p>
    <w:p w14:paraId="37FC108F" w14:textId="77777777" w:rsidR="00243532" w:rsidRDefault="00243532" w:rsidP="00BB1D76">
      <w:pPr>
        <w:tabs>
          <w:tab w:val="left" w:pos="-720"/>
        </w:tabs>
        <w:rPr>
          <w:rFonts w:ascii="Times New Roman" w:hAnsi="Times New Roman"/>
        </w:rPr>
      </w:pPr>
    </w:p>
    <w:p w14:paraId="073B1C0B" w14:textId="77777777"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14:paraId="01AF8A7F" w14:textId="71B22D4E" w:rsidR="00243532" w:rsidRPr="00923172" w:rsidRDefault="004A172E" w:rsidP="00243532">
      <w:pPr>
        <w:tabs>
          <w:tab w:val="left" w:pos="-720"/>
        </w:tabs>
        <w:spacing w:line="276" w:lineRule="auto"/>
        <w:rPr>
          <w:rFonts w:ascii="Times New Roman" w:hAnsi="Times New Roman"/>
          <w:bCs/>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Pr="00243532">
        <w:rPr>
          <w:rFonts w:ascii="Times New Roman" w:hAnsi="Times New Roman"/>
          <w:b/>
        </w:rPr>
        <w:tab/>
      </w:r>
      <w:r w:rsidR="00923172" w:rsidRPr="00923172">
        <w:rPr>
          <w:rFonts w:ascii="Times New Roman" w:hAnsi="Times New Roman"/>
          <w:bCs/>
        </w:rPr>
        <w:t xml:space="preserve">Washington Association of Building Officials, </w:t>
      </w:r>
    </w:p>
    <w:p w14:paraId="4660DBF7" w14:textId="00606492"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r w:rsidR="00923172">
        <w:rPr>
          <w:rFonts w:ascii="Times New Roman" w:hAnsi="Times New Roman"/>
          <w:b/>
        </w:rPr>
        <w:tab/>
      </w:r>
      <w:r w:rsidR="00923172" w:rsidRPr="00923172">
        <w:rPr>
          <w:rFonts w:ascii="Times New Roman" w:hAnsi="Times New Roman"/>
          <w:bCs/>
        </w:rPr>
        <w:t>Technical Codes Development Committee</w:t>
      </w:r>
    </w:p>
    <w:p w14:paraId="0CE3648F" w14:textId="15096F3D" w:rsidR="00BB1D76" w:rsidRP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r w:rsidR="00923172">
        <w:rPr>
          <w:rFonts w:ascii="Times New Roman" w:hAnsi="Times New Roman"/>
          <w:b/>
        </w:rPr>
        <w:tab/>
      </w:r>
      <w:r w:rsidR="00923172">
        <w:rPr>
          <w:rFonts w:ascii="Times New Roman" w:hAnsi="Times New Roman"/>
          <w:b/>
        </w:rPr>
        <w:tab/>
      </w:r>
      <w:r w:rsidR="005E0156" w:rsidRPr="005B4A14">
        <w:rPr>
          <w:rFonts w:ascii="Times New Roman" w:hAnsi="Times New Roman"/>
          <w:bCs/>
        </w:rPr>
        <w:t>Aug</w:t>
      </w:r>
      <w:r w:rsidR="00FF17B5" w:rsidRPr="005B4A14">
        <w:rPr>
          <w:rFonts w:ascii="Times New Roman" w:hAnsi="Times New Roman"/>
          <w:bCs/>
        </w:rPr>
        <w:t>ust</w:t>
      </w:r>
      <w:r w:rsidR="005E0156" w:rsidRPr="005B4A14">
        <w:rPr>
          <w:rFonts w:ascii="Times New Roman" w:hAnsi="Times New Roman"/>
          <w:bCs/>
        </w:rPr>
        <w:t xml:space="preserve"> </w:t>
      </w:r>
      <w:r w:rsidR="005A10DE">
        <w:rPr>
          <w:rFonts w:ascii="Times New Roman" w:hAnsi="Times New Roman"/>
          <w:bCs/>
        </w:rPr>
        <w:t>28</w:t>
      </w:r>
      <w:r w:rsidR="00763021" w:rsidRPr="004964F9">
        <w:rPr>
          <w:rFonts w:ascii="Times New Roman" w:hAnsi="Times New Roman"/>
          <w:bCs/>
        </w:rPr>
        <w:t>,</w:t>
      </w:r>
      <w:r w:rsidR="00763021" w:rsidRPr="00763021">
        <w:rPr>
          <w:rFonts w:ascii="Times New Roman" w:hAnsi="Times New Roman"/>
          <w:bCs/>
        </w:rPr>
        <w:t xml:space="preserve"> </w:t>
      </w:r>
      <w:r w:rsidR="004D1B19" w:rsidRPr="00763021">
        <w:rPr>
          <w:rFonts w:ascii="Times New Roman" w:hAnsi="Times New Roman"/>
          <w:bCs/>
        </w:rPr>
        <w:t>2024</w:t>
      </w:r>
    </w:p>
    <w:p w14:paraId="0A95738E" w14:textId="77777777" w:rsidR="00BB1D76" w:rsidRDefault="00BB1D76" w:rsidP="00BB1D76">
      <w:pPr>
        <w:tabs>
          <w:tab w:val="left" w:pos="-720"/>
        </w:tabs>
        <w:rPr>
          <w:rFonts w:ascii="Times New Roman" w:hAnsi="Times New Roman"/>
        </w:rPr>
      </w:pPr>
    </w:p>
    <w:p w14:paraId="227ECB81" w14:textId="77777777"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14:paraId="7551E130" w14:textId="7E464B00"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BB1D76">
        <w:rPr>
          <w:rFonts w:ascii="Times New Roman" w:hAnsi="Times New Roman"/>
          <w:b/>
        </w:rPr>
        <w:tab/>
      </w:r>
      <w:r w:rsidR="00BB1D76">
        <w:rPr>
          <w:rFonts w:ascii="Times New Roman" w:hAnsi="Times New Roman"/>
          <w:b/>
        </w:rPr>
        <w:tab/>
      </w:r>
      <w:r w:rsidR="00D140D7" w:rsidRPr="00763021">
        <w:rPr>
          <w:rFonts w:ascii="Times New Roman" w:hAnsi="Times New Roman"/>
          <w:bCs/>
        </w:rPr>
        <w:t>Ardel Jala</w:t>
      </w:r>
      <w:r w:rsidR="003F04BC">
        <w:rPr>
          <w:rFonts w:ascii="Times New Roman" w:hAnsi="Times New Roman"/>
          <w:b/>
        </w:rPr>
        <w:t xml:space="preserve"> </w:t>
      </w:r>
    </w:p>
    <w:p w14:paraId="6138D9A8" w14:textId="36649C4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C00030">
        <w:rPr>
          <w:rFonts w:ascii="Times New Roman" w:hAnsi="Times New Roman"/>
          <w:b/>
        </w:rPr>
        <w:tab/>
      </w:r>
      <w:r w:rsidR="00D140D7">
        <w:rPr>
          <w:rFonts w:ascii="Times New Roman" w:hAnsi="Times New Roman"/>
          <w:b/>
        </w:rPr>
        <w:tab/>
      </w:r>
      <w:r w:rsidR="00D140D7" w:rsidRPr="00763021">
        <w:rPr>
          <w:rFonts w:ascii="Times New Roman" w:hAnsi="Times New Roman"/>
          <w:bCs/>
        </w:rPr>
        <w:t>Building Official</w:t>
      </w:r>
    </w:p>
    <w:p w14:paraId="5D02FF89" w14:textId="7FBA1168" w:rsidR="00BB1D76" w:rsidRDefault="00BB1D76" w:rsidP="00243532">
      <w:pPr>
        <w:tabs>
          <w:tab w:val="left" w:pos="-720"/>
        </w:tabs>
        <w:spacing w:line="276" w:lineRule="auto"/>
        <w:rPr>
          <w:rFonts w:ascii="Times New Roman" w:hAnsi="Times New Roman"/>
          <w:b/>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r w:rsidR="00D140D7">
        <w:rPr>
          <w:rFonts w:ascii="Times New Roman" w:hAnsi="Times New Roman"/>
          <w:b/>
        </w:rPr>
        <w:tab/>
      </w:r>
      <w:r w:rsidR="00D140D7" w:rsidRPr="00763021">
        <w:rPr>
          <w:rFonts w:ascii="Times New Roman" w:hAnsi="Times New Roman"/>
          <w:bCs/>
        </w:rPr>
        <w:t>Seattle Dept of Construction and Inspections</w:t>
      </w:r>
    </w:p>
    <w:p w14:paraId="09E10917" w14:textId="17E98595" w:rsidR="00D140D7" w:rsidRPr="00763021" w:rsidRDefault="00D140D7" w:rsidP="00243532">
      <w:pPr>
        <w:tabs>
          <w:tab w:val="left" w:pos="-720"/>
        </w:tabs>
        <w:spacing w:line="276" w:lineRule="auto"/>
        <w:rPr>
          <w:rFonts w:ascii="Times New Roman" w:hAnsi="Times New Roman"/>
          <w:bCs/>
        </w:rPr>
      </w:pPr>
      <w:r>
        <w:rPr>
          <w:rFonts w:ascii="Times New Roman" w:hAnsi="Times New Roman"/>
          <w:b/>
        </w:rPr>
        <w:tab/>
      </w:r>
      <w:r>
        <w:rPr>
          <w:rFonts w:ascii="Times New Roman" w:hAnsi="Times New Roman"/>
          <w:b/>
        </w:rPr>
        <w:tab/>
      </w:r>
      <w:r>
        <w:rPr>
          <w:rFonts w:ascii="Times New Roman" w:hAnsi="Times New Roman"/>
          <w:b/>
        </w:rPr>
        <w:tab/>
      </w:r>
      <w:r w:rsidRPr="00763021">
        <w:rPr>
          <w:rFonts w:ascii="Times New Roman" w:hAnsi="Times New Roman"/>
          <w:bCs/>
        </w:rPr>
        <w:t>700 Fifth Avenue Suite 2000</w:t>
      </w:r>
    </w:p>
    <w:p w14:paraId="114151B1" w14:textId="5ED946E7" w:rsidR="00D140D7" w:rsidRPr="00763021" w:rsidRDefault="00D140D7" w:rsidP="00243532">
      <w:pPr>
        <w:tabs>
          <w:tab w:val="left" w:pos="-720"/>
        </w:tabs>
        <w:spacing w:line="276" w:lineRule="auto"/>
        <w:rPr>
          <w:rFonts w:ascii="Times New Roman" w:hAnsi="Times New Roman"/>
          <w:bCs/>
        </w:rPr>
      </w:pPr>
      <w:r w:rsidRPr="00763021">
        <w:rPr>
          <w:rFonts w:ascii="Times New Roman" w:hAnsi="Times New Roman"/>
          <w:bCs/>
        </w:rPr>
        <w:tab/>
      </w:r>
      <w:r w:rsidRPr="00763021">
        <w:rPr>
          <w:rFonts w:ascii="Times New Roman" w:hAnsi="Times New Roman"/>
          <w:bCs/>
        </w:rPr>
        <w:tab/>
      </w:r>
      <w:r w:rsidRPr="00763021">
        <w:rPr>
          <w:rFonts w:ascii="Times New Roman" w:hAnsi="Times New Roman"/>
          <w:bCs/>
        </w:rPr>
        <w:tab/>
        <w:t>Seattle, WA 98124</w:t>
      </w:r>
    </w:p>
    <w:p w14:paraId="57120E20" w14:textId="77777777" w:rsidR="00B7203D" w:rsidRDefault="00B7203D" w:rsidP="00BB1D76">
      <w:pPr>
        <w:tabs>
          <w:tab w:val="left" w:pos="-720"/>
          <w:tab w:val="left" w:pos="0"/>
          <w:tab w:val="left" w:pos="720"/>
        </w:tabs>
        <w:ind w:left="1440" w:hanging="1440"/>
        <w:rPr>
          <w:rFonts w:ascii="Times New Roman" w:hAnsi="Times New Roman"/>
        </w:rPr>
      </w:pPr>
    </w:p>
    <w:p w14:paraId="6AB4B5EB" w14:textId="0DCD26B6"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r>
        <w:rPr>
          <w:rFonts w:ascii="Times New Roman" w:hAnsi="Times New Roman"/>
          <w:b/>
        </w:rPr>
        <w:t>:</w:t>
      </w:r>
      <w:r w:rsidR="00243532">
        <w:rPr>
          <w:rFonts w:ascii="Times New Roman" w:hAnsi="Times New Roman"/>
          <w:b/>
        </w:rPr>
        <w:t xml:space="preserve">  </w:t>
      </w:r>
      <w:r w:rsidR="00243532" w:rsidRPr="00763021">
        <w:rPr>
          <w:rFonts w:ascii="Times New Roman" w:hAnsi="Times New Roman"/>
          <w:bCs/>
        </w:rPr>
        <w:t>(</w:t>
      </w:r>
      <w:r w:rsidR="00D140D7" w:rsidRPr="00763021">
        <w:rPr>
          <w:rFonts w:ascii="Times New Roman" w:hAnsi="Times New Roman"/>
          <w:bCs/>
        </w:rPr>
        <w:t>206</w:t>
      </w:r>
      <w:r w:rsidR="00243532" w:rsidRPr="00763021">
        <w:rPr>
          <w:rFonts w:ascii="Times New Roman" w:hAnsi="Times New Roman"/>
          <w:bCs/>
        </w:rPr>
        <w:t>)</w:t>
      </w:r>
      <w:r w:rsidR="00D140D7" w:rsidRPr="00763021">
        <w:rPr>
          <w:rFonts w:ascii="Times New Roman" w:hAnsi="Times New Roman"/>
          <w:bCs/>
        </w:rPr>
        <w:t xml:space="preserve"> 684-0573</w:t>
      </w:r>
    </w:p>
    <w:p w14:paraId="31B3DF79" w14:textId="5F111AFE"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243532">
        <w:rPr>
          <w:rFonts w:ascii="Times New Roman" w:hAnsi="Times New Roman"/>
          <w:b/>
        </w:rPr>
        <w:t xml:space="preserve">:  </w:t>
      </w:r>
      <w:r w:rsidR="005C4A3C">
        <w:rPr>
          <w:rFonts w:ascii="Times New Roman" w:hAnsi="Times New Roman"/>
          <w:b/>
        </w:rPr>
        <w:tab/>
      </w:r>
      <w:r w:rsidR="00243532" w:rsidRPr="00763021">
        <w:rPr>
          <w:rFonts w:ascii="Times New Roman" w:hAnsi="Times New Roman"/>
          <w:bCs/>
        </w:rPr>
        <w:t>(</w:t>
      </w:r>
      <w:r w:rsidR="00D140D7" w:rsidRPr="00763021">
        <w:rPr>
          <w:rFonts w:ascii="Times New Roman" w:hAnsi="Times New Roman"/>
          <w:bCs/>
        </w:rPr>
        <w:t>206</w:t>
      </w:r>
      <w:r w:rsidR="00243532" w:rsidRPr="00763021">
        <w:rPr>
          <w:rFonts w:ascii="Times New Roman" w:hAnsi="Times New Roman"/>
          <w:bCs/>
        </w:rPr>
        <w:t>)</w:t>
      </w:r>
      <w:r w:rsidR="00D140D7" w:rsidRPr="00763021">
        <w:rPr>
          <w:rFonts w:ascii="Times New Roman" w:hAnsi="Times New Roman"/>
          <w:bCs/>
        </w:rPr>
        <w:t xml:space="preserve"> </w:t>
      </w:r>
      <w:r w:rsidR="00923172" w:rsidRPr="00763021">
        <w:rPr>
          <w:rFonts w:ascii="Times New Roman" w:hAnsi="Times New Roman"/>
          <w:bCs/>
        </w:rPr>
        <w:t>747-9582</w:t>
      </w:r>
    </w:p>
    <w:p w14:paraId="5C90FC66" w14:textId="05C27BCA" w:rsidR="00B7203D" w:rsidRPr="00763021" w:rsidRDefault="00D96B31" w:rsidP="00243532">
      <w:pPr>
        <w:tabs>
          <w:tab w:val="left" w:pos="-720"/>
          <w:tab w:val="left" w:pos="0"/>
          <w:tab w:val="left" w:pos="720"/>
        </w:tabs>
        <w:spacing w:line="276" w:lineRule="auto"/>
        <w:ind w:left="1440" w:hanging="1440"/>
        <w:rPr>
          <w:rFonts w:ascii="Times New Roman" w:hAnsi="Times New Roman"/>
          <w:bCs/>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r w:rsidR="00923172" w:rsidRPr="00763021">
        <w:rPr>
          <w:rFonts w:ascii="Times New Roman" w:hAnsi="Times New Roman"/>
          <w:bCs/>
        </w:rPr>
        <w:t>ardel.jala@seattle.gov</w:t>
      </w:r>
    </w:p>
    <w:p w14:paraId="412FADEB" w14:textId="77777777" w:rsidR="00BB1D76" w:rsidRDefault="00BB1D76" w:rsidP="00BB1D76">
      <w:pPr>
        <w:tabs>
          <w:tab w:val="left" w:pos="-720"/>
          <w:tab w:val="left" w:pos="0"/>
        </w:tabs>
        <w:ind w:left="720" w:hanging="720"/>
        <w:rPr>
          <w:rFonts w:ascii="Times New Roman" w:hAnsi="Times New Roman"/>
        </w:rPr>
      </w:pPr>
    </w:p>
    <w:p w14:paraId="267DEF06" w14:textId="72821BBB" w:rsidR="00CE45E6" w:rsidRDefault="00256274" w:rsidP="00885EE8">
      <w:pPr>
        <w:spacing w:after="200"/>
        <w:ind w:left="270" w:hanging="270"/>
        <w:rPr>
          <w:rFonts w:ascii="Times New Roman" w:hAnsi="Times New Roman"/>
        </w:rPr>
      </w:pPr>
      <w:r>
        <w:rPr>
          <w:rFonts w:ascii="Times New Roman" w:hAnsi="Times New Roman"/>
          <w:b/>
        </w:rPr>
        <w:br w:type="page"/>
      </w:r>
      <w:r w:rsidR="00D17C4C">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sidR="00D17C4C">
        <w:rPr>
          <w:rFonts w:ascii="Times New Roman" w:hAnsi="Times New Roman"/>
        </w:rPr>
        <w:t>Reproduce the section to be amended</w:t>
      </w:r>
      <w:r w:rsidR="003F08BE">
        <w:rPr>
          <w:rFonts w:ascii="Times New Roman" w:hAnsi="Times New Roman"/>
        </w:rPr>
        <w:t xml:space="preserve"> by underlining</w:t>
      </w:r>
      <w:r w:rsidR="00D17C4C">
        <w:rPr>
          <w:rFonts w:ascii="Times New Roman" w:hAnsi="Times New Roman"/>
        </w:rPr>
        <w:t xml:space="preserve"> all added language, strik</w:t>
      </w:r>
      <w:r w:rsidR="003F08BE">
        <w:rPr>
          <w:rFonts w:ascii="Times New Roman" w:hAnsi="Times New Roman"/>
        </w:rPr>
        <w:t>ing</w:t>
      </w:r>
      <w:r w:rsidR="00D17C4C">
        <w:rPr>
          <w:rFonts w:ascii="Times New Roman" w:hAnsi="Times New Roman"/>
        </w:rPr>
        <w:t xml:space="preserve"> through all deleted language.  Insert </w:t>
      </w:r>
      <w:r w:rsidR="00D17C4C">
        <w:rPr>
          <w:rFonts w:ascii="Times New Roman" w:hAnsi="Times New Roman"/>
          <w:u w:val="single"/>
        </w:rPr>
        <w:t>new</w:t>
      </w:r>
      <w:r w:rsidR="00D17C4C">
        <w:rPr>
          <w:rFonts w:ascii="Times New Roman" w:hAnsi="Times New Roman"/>
        </w:rPr>
        <w:t xml:space="preserve"> sections in the appropriate place in the code in order to continue the established numbering system of the code.  If more than one section is proposed for amendment or more than one page is needed for reproducing the affected section of the code</w:t>
      </w:r>
      <w:r w:rsidR="005044DD">
        <w:rPr>
          <w:rFonts w:ascii="Times New Roman" w:hAnsi="Times New Roman"/>
        </w:rPr>
        <w:t>,</w:t>
      </w:r>
      <w:r w:rsidR="00D17C4C">
        <w:rPr>
          <w:rFonts w:ascii="Times New Roman" w:hAnsi="Times New Roman"/>
        </w:rPr>
        <w:t xml:space="preserve"> additional pages may be attached.</w:t>
      </w:r>
      <w:r w:rsidR="003F08BE">
        <w:rPr>
          <w:rFonts w:ascii="Times New Roman" w:hAnsi="Times New Roman"/>
        </w:rPr>
        <w:t xml:space="preserve"> </w:t>
      </w:r>
    </w:p>
    <w:p w14:paraId="14AB8F19" w14:textId="3DB9A83B" w:rsidR="00D17C4C" w:rsidRDefault="00CE45E6" w:rsidP="00885EE8">
      <w:pPr>
        <w:tabs>
          <w:tab w:val="left" w:pos="-720"/>
          <w:tab w:val="left" w:pos="0"/>
        </w:tabs>
        <w:ind w:left="270" w:hanging="720"/>
        <w:rPr>
          <w:rFonts w:ascii="Times New Roman" w:hAnsi="Times New Roman"/>
        </w:rPr>
      </w:pPr>
      <w:r>
        <w:rPr>
          <w:rFonts w:ascii="Times New Roman" w:hAnsi="Times New Roman"/>
          <w:b/>
        </w:rPr>
        <w:tab/>
      </w:r>
      <w:r w:rsidR="00885EE8">
        <w:rPr>
          <w:rFonts w:ascii="Times New Roman" w:hAnsi="Times New Roman"/>
          <w:b/>
        </w:rPr>
        <w:tab/>
      </w:r>
      <w:r w:rsidR="009D0ABD" w:rsidRPr="00875227">
        <w:rPr>
          <w:rFonts w:ascii="Times New Roman" w:hAnsi="Times New Roman"/>
        </w:rPr>
        <w:t xml:space="preserve">Clearly state if the proposal modifies an existing amendment or </w:t>
      </w:r>
      <w:r w:rsidR="005F43DA" w:rsidRPr="00875227">
        <w:rPr>
          <w:rFonts w:ascii="Times New Roman" w:hAnsi="Times New Roman"/>
        </w:rPr>
        <w:t xml:space="preserve">if </w:t>
      </w:r>
      <w:r w:rsidR="009D0ABD" w:rsidRPr="00875227">
        <w:rPr>
          <w:rFonts w:ascii="Times New Roman" w:hAnsi="Times New Roman"/>
        </w:rPr>
        <w:t xml:space="preserve">a new </w:t>
      </w:r>
      <w:r w:rsidR="005F43DA" w:rsidRPr="00875227">
        <w:rPr>
          <w:rFonts w:ascii="Times New Roman" w:hAnsi="Times New Roman"/>
        </w:rPr>
        <w:t>amendment is needed</w:t>
      </w:r>
      <w:r w:rsidR="009D0ABD" w:rsidRPr="00875227">
        <w:rPr>
          <w:rFonts w:ascii="Times New Roman" w:hAnsi="Times New Roman"/>
        </w:rPr>
        <w:t xml:space="preserve">. If the proposal modifies an </w:t>
      </w:r>
      <w:r w:rsidR="009D0ABD" w:rsidRPr="00875227">
        <w:rPr>
          <w:rFonts w:ascii="Times New Roman" w:hAnsi="Times New Roman"/>
          <w:b/>
          <w:bCs/>
        </w:rPr>
        <w:t>existing amendment</w:t>
      </w:r>
      <w:r w:rsidR="009D0ABD" w:rsidRPr="00875227">
        <w:rPr>
          <w:rFonts w:ascii="Times New Roman" w:hAnsi="Times New Roman"/>
        </w:rPr>
        <w:t xml:space="preserve">, </w:t>
      </w:r>
      <w:bookmarkStart w:id="0" w:name="_Hlk91151891"/>
      <w:r w:rsidR="009D0ABD" w:rsidRPr="00875227">
        <w:rPr>
          <w:rFonts w:ascii="Times New Roman" w:hAnsi="Times New Roman"/>
        </w:rPr>
        <w:t>show the modifications to the existing amendment by</w:t>
      </w:r>
      <w:r w:rsidR="003F08BE" w:rsidRPr="00875227">
        <w:rPr>
          <w:rFonts w:ascii="Times New Roman" w:hAnsi="Times New Roman"/>
        </w:rPr>
        <w:t xml:space="preserve"> </w:t>
      </w:r>
      <w:r w:rsidR="009D0ABD" w:rsidRPr="00875227">
        <w:rPr>
          <w:rFonts w:ascii="Times New Roman" w:hAnsi="Times New Roman"/>
        </w:rPr>
        <w:t>underlining all added language and striking through all deleted language</w:t>
      </w:r>
      <w:bookmarkEnd w:id="0"/>
      <w:r w:rsidR="009D0ABD" w:rsidRPr="00875227">
        <w:rPr>
          <w:rFonts w:ascii="Times New Roman" w:hAnsi="Times New Roman"/>
        </w:rPr>
        <w:t>.</w:t>
      </w:r>
      <w:r w:rsidR="00D07957" w:rsidRPr="00875227">
        <w:rPr>
          <w:rFonts w:ascii="Times New Roman" w:hAnsi="Times New Roman"/>
        </w:rPr>
        <w:t xml:space="preserve"> If a new amendment is needed</w:t>
      </w:r>
      <w:r w:rsidR="00720082" w:rsidRPr="00875227">
        <w:rPr>
          <w:rFonts w:ascii="Times New Roman" w:hAnsi="Times New Roman"/>
        </w:rPr>
        <w:t xml:space="preserve">, show the modifications to the </w:t>
      </w:r>
      <w:r w:rsidR="00720082" w:rsidRPr="00875227">
        <w:rPr>
          <w:rFonts w:ascii="Times New Roman" w:hAnsi="Times New Roman"/>
          <w:b/>
          <w:bCs/>
        </w:rPr>
        <w:t>model code</w:t>
      </w:r>
      <w:r w:rsidR="00720082" w:rsidRPr="00875227">
        <w:rPr>
          <w:rFonts w:ascii="Times New Roman" w:hAnsi="Times New Roman"/>
        </w:rPr>
        <w:t xml:space="preserve"> by underlining all added language and striking through all deleted language.</w:t>
      </w:r>
      <w:r w:rsidR="00720082">
        <w:rPr>
          <w:rFonts w:ascii="Times New Roman" w:hAnsi="Times New Roman"/>
        </w:rPr>
        <w:t xml:space="preserve"> </w:t>
      </w:r>
    </w:p>
    <w:p w14:paraId="149D7B71" w14:textId="77777777" w:rsidR="00C06C8C" w:rsidRPr="00D17C4C" w:rsidRDefault="00C06C8C" w:rsidP="00D17C4C">
      <w:pPr>
        <w:tabs>
          <w:tab w:val="left" w:pos="-720"/>
          <w:tab w:val="left" w:pos="0"/>
        </w:tabs>
        <w:ind w:left="720" w:hanging="720"/>
        <w:rPr>
          <w:rFonts w:ascii="Times New Roman" w:hAnsi="Times New Roman"/>
        </w:rPr>
      </w:pPr>
    </w:p>
    <w:p w14:paraId="78954ADB" w14:textId="30434484"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__</w:t>
      </w:r>
      <w:r w:rsidR="001906D6">
        <w:rPr>
          <w:rFonts w:ascii="Times New Roman" w:hAnsi="Times New Roman"/>
        </w:rPr>
        <w:t>IBC</w:t>
      </w:r>
      <w:r>
        <w:rPr>
          <w:rFonts w:ascii="Times New Roman" w:hAnsi="Times New Roman"/>
        </w:rPr>
        <w:t>_________________</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(s)</w:t>
      </w:r>
      <w:r>
        <w:rPr>
          <w:rFonts w:ascii="Times New Roman" w:hAnsi="Times New Roman"/>
        </w:rPr>
        <w:t xml:space="preserve"> </w:t>
      </w:r>
      <w:r w:rsidR="001906D6">
        <w:rPr>
          <w:rFonts w:ascii="Times New Roman" w:hAnsi="Times New Roman"/>
        </w:rPr>
        <w:t xml:space="preserve"> new Appendix Q</w:t>
      </w:r>
      <w:r>
        <w:rPr>
          <w:rFonts w:ascii="Times New Roman" w:hAnsi="Times New Roman"/>
        </w:rPr>
        <w:t>__</w:t>
      </w:r>
      <w:r w:rsidR="00227B70">
        <w:rPr>
          <w:rFonts w:ascii="Times New Roman" w:hAnsi="Times New Roman"/>
        </w:rPr>
        <w:t>__</w:t>
      </w:r>
      <w:r w:rsidR="009B169E">
        <w:rPr>
          <w:rFonts w:ascii="Times New Roman" w:hAnsi="Times New Roman"/>
        </w:rPr>
        <w:t>________</w:t>
      </w:r>
      <w:r w:rsidR="00227B70">
        <w:rPr>
          <w:rFonts w:ascii="Times New Roman" w:hAnsi="Times New Roman"/>
        </w:rPr>
        <w:t>_____</w:t>
      </w:r>
      <w:r w:rsidR="009B169E">
        <w:rPr>
          <w:rFonts w:ascii="Times New Roman" w:hAnsi="Times New Roman"/>
        </w:rPr>
        <w:t xml:space="preserve">      </w:t>
      </w:r>
    </w:p>
    <w:p w14:paraId="1265A53A" w14:textId="77777777" w:rsidR="00BB1D76" w:rsidRDefault="00BB1D76" w:rsidP="00BB1D76">
      <w:pPr>
        <w:tabs>
          <w:tab w:val="left" w:pos="-720"/>
        </w:tabs>
        <w:rPr>
          <w:rFonts w:ascii="Times New Roman" w:hAnsi="Times New Roman"/>
        </w:rPr>
      </w:pPr>
    </w:p>
    <w:p w14:paraId="60806AAD" w14:textId="77777777" w:rsidR="00C06C8C" w:rsidRDefault="004B0207" w:rsidP="00FB746A">
      <w:pPr>
        <w:tabs>
          <w:tab w:val="left" w:pos="-720"/>
        </w:tabs>
        <w:rPr>
          <w:rFonts w:ascii="Times New Roman" w:hAnsi="Times New Roman"/>
        </w:rPr>
      </w:pPr>
      <w:r>
        <w:rPr>
          <w:rFonts w:ascii="Times New Roman" w:hAnsi="Times New Roman"/>
        </w:rPr>
        <w:tab/>
      </w:r>
      <w:r w:rsidR="00FB746A">
        <w:rPr>
          <w:rFonts w:ascii="Times New Roman" w:hAnsi="Times New Roman"/>
        </w:rPr>
        <w:t>Enforceable code language must be used.</w:t>
      </w:r>
    </w:p>
    <w:p w14:paraId="62C4B8F6" w14:textId="2630ABDE" w:rsidR="00BB1D76" w:rsidRDefault="00FB746A" w:rsidP="00FB746A">
      <w:pPr>
        <w:tabs>
          <w:tab w:val="left" w:pos="-720"/>
        </w:tabs>
        <w:rPr>
          <w:rFonts w:ascii="Times New Roman" w:hAnsi="Times New Roman"/>
        </w:rPr>
      </w:pPr>
      <w:r>
        <w:rPr>
          <w:rFonts w:ascii="Times New Roman" w:hAnsi="Times New Roman"/>
        </w:rPr>
        <w:t xml:space="preserve"> </w:t>
      </w:r>
      <w:r w:rsidR="00BB1D76">
        <w:rPr>
          <w:rFonts w:ascii="Times New Roman" w:hAnsi="Times New Roman"/>
        </w:rPr>
        <w:tab/>
        <w:t>Amend section to read as follows:</w:t>
      </w:r>
    </w:p>
    <w:p w14:paraId="28E6634B" w14:textId="1948E06F" w:rsidR="0024378F" w:rsidRPr="00570AC8" w:rsidRDefault="0024378F" w:rsidP="007B18FB">
      <w:pPr>
        <w:pStyle w:val="Heading1"/>
        <w:ind w:left="720" w:right="360"/>
        <w:jc w:val="center"/>
        <w:rPr>
          <w:rFonts w:ascii="Times New Roman" w:hAnsi="Times New Roman" w:cs="Times New Roman"/>
          <w:color w:val="auto"/>
          <w:sz w:val="22"/>
          <w:szCs w:val="22"/>
        </w:rPr>
      </w:pPr>
      <w:r w:rsidRPr="00570AC8">
        <w:rPr>
          <w:rStyle w:val="normaltextrun"/>
          <w:rFonts w:ascii="Times New Roman" w:hAnsi="Times New Roman" w:cs="Times New Roman"/>
          <w:color w:val="auto"/>
          <w:sz w:val="22"/>
          <w:szCs w:val="22"/>
        </w:rPr>
        <w:t>APPENDIX Q - Single Exit Provisions for Multifamily up to 6 stories</w:t>
      </w:r>
    </w:p>
    <w:p w14:paraId="297C0758"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The provisions contained in this appendix are not mandatory unless specifically referenced in the adopting ordinance. </w:t>
      </w:r>
      <w:r w:rsidRPr="00570AC8">
        <w:rPr>
          <w:rStyle w:val="eop"/>
          <w:sz w:val="22"/>
          <w:szCs w:val="22"/>
        </w:rPr>
        <w:t> </w:t>
      </w:r>
    </w:p>
    <w:p w14:paraId="16327F4E"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w:t>
      </w:r>
      <w:r w:rsidRPr="00570AC8">
        <w:rPr>
          <w:rStyle w:val="eop"/>
          <w:sz w:val="22"/>
          <w:szCs w:val="22"/>
        </w:rPr>
        <w:t> </w:t>
      </w:r>
    </w:p>
    <w:p w14:paraId="2A4A9FFD" w14:textId="77777777" w:rsidR="0024378F" w:rsidRPr="00570AC8" w:rsidRDefault="0024378F" w:rsidP="0024378F">
      <w:pPr>
        <w:pStyle w:val="paragraph"/>
        <w:spacing w:before="0" w:beforeAutospacing="0" w:after="0" w:afterAutospacing="0"/>
        <w:ind w:left="720" w:right="360"/>
        <w:textAlignment w:val="baseline"/>
        <w:rPr>
          <w:rStyle w:val="eop"/>
          <w:sz w:val="22"/>
          <w:szCs w:val="22"/>
        </w:rPr>
      </w:pPr>
      <w:r w:rsidRPr="00570AC8">
        <w:rPr>
          <w:rStyle w:val="normaltextrun"/>
          <w:sz w:val="22"/>
          <w:szCs w:val="22"/>
        </w:rPr>
        <w:t>User note: </w:t>
      </w:r>
      <w:r w:rsidRPr="00570AC8">
        <w:rPr>
          <w:rStyle w:val="normaltextrun"/>
          <w:i/>
          <w:iCs/>
          <w:sz w:val="22"/>
          <w:szCs w:val="22"/>
        </w:rPr>
        <w:t>About this appendix: Appendix Q provides provisions that allow a single exit stairway in a multifamily residential structure up to six stories above grade plane.  The purpose of this appendix is to allow a single exit in residential buildings taller than three stories under the stated conditions. This appendix provides an alternative single exit design option to those listed in Section 1006.3.3.</w:t>
      </w:r>
      <w:r w:rsidRPr="00570AC8">
        <w:rPr>
          <w:rStyle w:val="eop"/>
          <w:sz w:val="22"/>
          <w:szCs w:val="22"/>
        </w:rPr>
        <w:t> </w:t>
      </w:r>
    </w:p>
    <w:p w14:paraId="0BE87FC9" w14:textId="77777777" w:rsidR="0024378F" w:rsidRPr="00570AC8" w:rsidRDefault="0024378F" w:rsidP="0024378F">
      <w:pPr>
        <w:pStyle w:val="paragraph"/>
        <w:spacing w:before="0" w:beforeAutospacing="0" w:after="0" w:afterAutospacing="0"/>
        <w:ind w:left="720" w:right="360"/>
        <w:textAlignment w:val="baseline"/>
        <w:rPr>
          <w:rStyle w:val="normaltextrun"/>
          <w:i/>
          <w:iCs/>
          <w:sz w:val="22"/>
          <w:szCs w:val="22"/>
        </w:rPr>
      </w:pPr>
    </w:p>
    <w:p w14:paraId="717AF172" w14:textId="77777777" w:rsidR="0024378F" w:rsidRPr="00570AC8" w:rsidRDefault="0024378F" w:rsidP="0024378F">
      <w:pPr>
        <w:ind w:left="720" w:right="360"/>
        <w:rPr>
          <w:rFonts w:ascii="Times New Roman" w:hAnsi="Times New Roman"/>
          <w:i/>
          <w:iCs/>
          <w:sz w:val="22"/>
          <w:szCs w:val="22"/>
        </w:rPr>
      </w:pPr>
      <w:r w:rsidRPr="00570AC8">
        <w:rPr>
          <w:rFonts w:ascii="Times New Roman" w:hAnsi="Times New Roman"/>
          <w:i/>
          <w:iCs/>
          <w:sz w:val="22"/>
          <w:szCs w:val="22"/>
        </w:rPr>
        <w:t>The capabilities of and resources available to the responding fire and emergency service agency should be considered prior to adopting this appendix. Not all agencies will have the appropriate aerial apparatus, personnel, or water supply to adequately respond to a structure designed using this appendix. Using NFPA 1300: Standard on Community Risk Assessment and Community Risk Reduction Plan Development, Center for Public Safety Excellence Commission on Fire Accreditation International (CPSE CFAI) Community Risk Assessment: Standard of Cover guide, and/or the Washington Surveying and Rating Bureau Public Protection Class grading score could be appropriate ways to measure a fire and emergency service agency’s ability to adequately respond to these types of buildings and their occupants during emergent conditions.</w:t>
      </w:r>
    </w:p>
    <w:p w14:paraId="148DA1CC" w14:textId="77777777" w:rsidR="0024378F" w:rsidRPr="00570AC8" w:rsidRDefault="0024378F" w:rsidP="0024378F">
      <w:pPr>
        <w:pStyle w:val="paragraph"/>
        <w:spacing w:before="0" w:beforeAutospacing="0" w:after="0" w:afterAutospacing="0"/>
        <w:ind w:left="720" w:right="360"/>
        <w:textAlignment w:val="baseline"/>
        <w:rPr>
          <w:sz w:val="22"/>
          <w:szCs w:val="22"/>
        </w:rPr>
      </w:pPr>
      <w:r w:rsidRPr="00570AC8">
        <w:rPr>
          <w:rStyle w:val="normaltextrun"/>
          <w:sz w:val="22"/>
          <w:szCs w:val="22"/>
        </w:rPr>
        <w:t>----------------------------------------------------------------------------------------------------------------------------</w:t>
      </w:r>
      <w:r w:rsidRPr="00570AC8">
        <w:rPr>
          <w:rStyle w:val="eop"/>
          <w:sz w:val="22"/>
          <w:szCs w:val="22"/>
        </w:rPr>
        <w:t> </w:t>
      </w:r>
    </w:p>
    <w:p w14:paraId="1884BA7F" w14:textId="77777777" w:rsidR="0024378F" w:rsidRPr="00570AC8" w:rsidRDefault="0024378F" w:rsidP="0024378F">
      <w:pPr>
        <w:pStyle w:val="paragraph"/>
        <w:spacing w:before="0" w:beforeAutospacing="0" w:after="0" w:afterAutospacing="0"/>
        <w:jc w:val="center"/>
        <w:textAlignment w:val="baseline"/>
        <w:rPr>
          <w:sz w:val="22"/>
          <w:szCs w:val="22"/>
        </w:rPr>
      </w:pPr>
      <w:r w:rsidRPr="00570AC8">
        <w:rPr>
          <w:rStyle w:val="normaltextrun"/>
          <w:b/>
          <w:bCs/>
          <w:sz w:val="22"/>
          <w:szCs w:val="22"/>
        </w:rPr>
        <w:t>SECTION Q101 </w:t>
      </w:r>
      <w:r w:rsidRPr="00570AC8">
        <w:rPr>
          <w:rStyle w:val="eop"/>
          <w:sz w:val="22"/>
          <w:szCs w:val="22"/>
        </w:rPr>
        <w:t> </w:t>
      </w:r>
    </w:p>
    <w:p w14:paraId="36F35422" w14:textId="77777777" w:rsidR="0024378F" w:rsidRPr="00570AC8" w:rsidRDefault="0024378F" w:rsidP="0024378F">
      <w:pPr>
        <w:pStyle w:val="paragraph"/>
        <w:spacing w:before="0" w:beforeAutospacing="0" w:after="0" w:afterAutospacing="0"/>
        <w:jc w:val="center"/>
        <w:textAlignment w:val="baseline"/>
        <w:rPr>
          <w:sz w:val="22"/>
          <w:szCs w:val="22"/>
        </w:rPr>
      </w:pPr>
      <w:r w:rsidRPr="00570AC8">
        <w:rPr>
          <w:rStyle w:val="normaltextrun"/>
          <w:b/>
          <w:bCs/>
          <w:sz w:val="22"/>
          <w:szCs w:val="22"/>
        </w:rPr>
        <w:t>GENERAL</w:t>
      </w:r>
      <w:r w:rsidRPr="00570AC8">
        <w:rPr>
          <w:rStyle w:val="eop"/>
          <w:sz w:val="22"/>
          <w:szCs w:val="22"/>
        </w:rPr>
        <w:t> </w:t>
      </w:r>
    </w:p>
    <w:p w14:paraId="2FEF6675" w14:textId="77777777" w:rsidR="0024378F" w:rsidRPr="00570AC8" w:rsidRDefault="0024378F" w:rsidP="0024378F">
      <w:pPr>
        <w:pStyle w:val="paragraph"/>
        <w:spacing w:before="0" w:beforeAutospacing="0" w:after="0" w:afterAutospacing="0"/>
        <w:textAlignment w:val="baseline"/>
        <w:rPr>
          <w:sz w:val="22"/>
          <w:szCs w:val="22"/>
        </w:rPr>
      </w:pPr>
      <w:r w:rsidRPr="00570AC8">
        <w:rPr>
          <w:rStyle w:val="eop"/>
          <w:sz w:val="22"/>
          <w:szCs w:val="22"/>
        </w:rPr>
        <w:t> </w:t>
      </w:r>
    </w:p>
    <w:p w14:paraId="0E3A62A2" w14:textId="77777777" w:rsidR="0024378F" w:rsidRPr="00570AC8" w:rsidRDefault="0024378F" w:rsidP="0024378F">
      <w:pPr>
        <w:pStyle w:val="paragraph"/>
        <w:spacing w:before="0" w:beforeAutospacing="0" w:after="0" w:afterAutospacing="0"/>
        <w:ind w:left="720"/>
        <w:textAlignment w:val="baseline"/>
        <w:rPr>
          <w:sz w:val="22"/>
          <w:szCs w:val="22"/>
        </w:rPr>
      </w:pPr>
      <w:r w:rsidRPr="00570AC8">
        <w:rPr>
          <w:rStyle w:val="normaltextrun"/>
          <w:b/>
          <w:bCs/>
          <w:sz w:val="22"/>
          <w:szCs w:val="22"/>
        </w:rPr>
        <w:t>Q101.1</w:t>
      </w:r>
      <w:r w:rsidRPr="00570AC8">
        <w:rPr>
          <w:rStyle w:val="normaltextrun"/>
          <w:sz w:val="22"/>
          <w:szCs w:val="22"/>
        </w:rPr>
        <w:t> </w:t>
      </w:r>
      <w:r w:rsidRPr="00570AC8">
        <w:rPr>
          <w:rStyle w:val="normaltextrun"/>
          <w:b/>
          <w:bCs/>
          <w:sz w:val="22"/>
          <w:szCs w:val="22"/>
        </w:rPr>
        <w:t>General.</w:t>
      </w:r>
      <w:r w:rsidRPr="00570AC8">
        <w:rPr>
          <w:rStyle w:val="normaltextrun"/>
          <w:sz w:val="22"/>
          <w:szCs w:val="22"/>
        </w:rPr>
        <w:t>  In addition to the </w:t>
      </w:r>
      <w:r w:rsidRPr="00570AC8">
        <w:rPr>
          <w:rStyle w:val="normaltextrun"/>
          <w:i/>
          <w:iCs/>
          <w:sz w:val="22"/>
          <w:szCs w:val="22"/>
        </w:rPr>
        <w:t>means of egress </w:t>
      </w:r>
      <w:r w:rsidRPr="00570AC8">
        <w:rPr>
          <w:rStyle w:val="normaltextrun"/>
          <w:sz w:val="22"/>
          <w:szCs w:val="22"/>
        </w:rPr>
        <w:t xml:space="preserve">requirements of Chapter 10, </w:t>
      </w:r>
      <w:r w:rsidRPr="00A300D6">
        <w:rPr>
          <w:rStyle w:val="normaltextrun"/>
          <w:sz w:val="22"/>
          <w:szCs w:val="22"/>
          <w:highlight w:val="yellow"/>
        </w:rPr>
        <w:t>not more than 5</w:t>
      </w:r>
      <w:r w:rsidRPr="00570AC8">
        <w:rPr>
          <w:rStyle w:val="normaltextrun"/>
          <w:sz w:val="22"/>
          <w:szCs w:val="22"/>
        </w:rPr>
        <w:t xml:space="preserve"> stories of Group R-2 Apartment Houses are permitted to be served by a single exit under the following conditions:</w:t>
      </w:r>
      <w:r w:rsidRPr="00570AC8">
        <w:rPr>
          <w:rStyle w:val="eop"/>
          <w:sz w:val="22"/>
          <w:szCs w:val="22"/>
        </w:rPr>
        <w:t> </w:t>
      </w:r>
    </w:p>
    <w:p w14:paraId="70E6A94E" w14:textId="77777777" w:rsidR="0024378F" w:rsidRPr="00570AC8" w:rsidRDefault="0024378F" w:rsidP="0024378F">
      <w:pPr>
        <w:pStyle w:val="paragraph"/>
        <w:spacing w:before="0" w:beforeAutospacing="0" w:after="0" w:afterAutospacing="0"/>
        <w:ind w:left="720"/>
        <w:textAlignment w:val="baseline"/>
        <w:rPr>
          <w:sz w:val="22"/>
          <w:szCs w:val="22"/>
        </w:rPr>
      </w:pPr>
      <w:r w:rsidRPr="00570AC8">
        <w:rPr>
          <w:rStyle w:val="eop"/>
          <w:sz w:val="22"/>
          <w:szCs w:val="22"/>
        </w:rPr>
        <w:t> </w:t>
      </w:r>
    </w:p>
    <w:p w14:paraId="5BFA07FA"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building has not more than six stories above grade plane.    </w:t>
      </w:r>
      <w:r w:rsidRPr="00570AC8">
        <w:rPr>
          <w:rStyle w:val="eop"/>
          <w:sz w:val="22"/>
          <w:szCs w:val="22"/>
        </w:rPr>
        <w:t> </w:t>
      </w:r>
    </w:p>
    <w:p w14:paraId="2210D85D" w14:textId="2B3E7AA0"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Other occupancies are permitted in the same building provided they comply with all the requirements of this code. Other occupancies shall not directly communicate with the Group R-2 occupancy portion of the building or with the single-exit stairway.</w:t>
      </w:r>
      <w:r w:rsidRPr="00570AC8">
        <w:rPr>
          <w:rStyle w:val="eop"/>
          <w:sz w:val="22"/>
          <w:szCs w:val="22"/>
        </w:rPr>
        <w:t> </w:t>
      </w:r>
    </w:p>
    <w:p w14:paraId="7B4939C1" w14:textId="77777777" w:rsidR="0024378F" w:rsidRPr="00570AC8" w:rsidRDefault="0024378F" w:rsidP="0024378F">
      <w:pPr>
        <w:pStyle w:val="paragraph"/>
        <w:spacing w:before="0" w:beforeAutospacing="0" w:after="120" w:afterAutospacing="0"/>
        <w:ind w:left="1080"/>
        <w:textAlignment w:val="baseline"/>
        <w:rPr>
          <w:sz w:val="22"/>
          <w:szCs w:val="22"/>
        </w:rPr>
      </w:pPr>
      <w:r w:rsidRPr="00570AC8">
        <w:rPr>
          <w:rStyle w:val="normaltextrun"/>
          <w:sz w:val="22"/>
          <w:szCs w:val="22"/>
        </w:rPr>
        <w:t>Exception: Parking garages and occupied roofs accessory to the Group R-2 occupancy are permitted to communicate with the exit stairway.</w:t>
      </w:r>
      <w:r w:rsidRPr="00570AC8">
        <w:rPr>
          <w:rStyle w:val="eop"/>
          <w:sz w:val="22"/>
          <w:szCs w:val="22"/>
        </w:rPr>
        <w:t> </w:t>
      </w:r>
    </w:p>
    <w:p w14:paraId="43399660"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 xml:space="preserve">The single exit stairway shall not serve as the required means of egress for an occupied roof including occupied roofs accessory to the Group R-2 occupancy.  Exception: Private roof decks up to 750 square feet are permitted above the sixth story above grade plane.  The private roof deck must be accessed by a stair serving only that unit. </w:t>
      </w:r>
    </w:p>
    <w:p w14:paraId="134AC50F"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lastRenderedPageBreak/>
        <w:t>The building shall not have an occupied</w:t>
      </w:r>
      <w:r w:rsidRPr="00570AC8">
        <w:rPr>
          <w:rStyle w:val="normaltextrun"/>
          <w:b/>
          <w:bCs/>
          <w:sz w:val="22"/>
          <w:szCs w:val="22"/>
        </w:rPr>
        <w:t xml:space="preserve"> </w:t>
      </w:r>
      <w:r w:rsidRPr="00570AC8">
        <w:rPr>
          <w:rStyle w:val="normaltextrun"/>
          <w:sz w:val="22"/>
          <w:szCs w:val="22"/>
        </w:rPr>
        <w:t>floor, including mezzanines</w:t>
      </w:r>
      <w:r w:rsidRPr="00570AC8">
        <w:rPr>
          <w:rStyle w:val="normaltextrun"/>
          <w:b/>
          <w:bCs/>
          <w:sz w:val="22"/>
          <w:szCs w:val="22"/>
        </w:rPr>
        <w:t xml:space="preserve"> </w:t>
      </w:r>
      <w:r w:rsidRPr="00570AC8">
        <w:rPr>
          <w:rStyle w:val="normaltextrun"/>
          <w:sz w:val="22"/>
          <w:szCs w:val="22"/>
        </w:rPr>
        <w:t>or occupiable roof, located more than 75' above the lowest level of fire department access.</w:t>
      </w:r>
      <w:r w:rsidRPr="00570AC8">
        <w:rPr>
          <w:rStyle w:val="eop"/>
          <w:sz w:val="22"/>
          <w:szCs w:val="22"/>
        </w:rPr>
        <w:t> </w:t>
      </w:r>
    </w:p>
    <w:p w14:paraId="36767E4E" w14:textId="77777777" w:rsidR="0024378F" w:rsidRPr="00A300D6"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highlight w:val="yellow"/>
        </w:rPr>
      </w:pPr>
      <w:r w:rsidRPr="00A300D6">
        <w:rPr>
          <w:rStyle w:val="normaltextrun"/>
          <w:sz w:val="22"/>
          <w:szCs w:val="22"/>
          <w:highlight w:val="yellow"/>
        </w:rPr>
        <w:t>There shall be no more than four dwelling units on any story.</w:t>
      </w:r>
      <w:r w:rsidRPr="00A300D6">
        <w:rPr>
          <w:rStyle w:val="eop"/>
          <w:sz w:val="22"/>
          <w:szCs w:val="22"/>
          <w:highlight w:val="yellow"/>
        </w:rPr>
        <w:t xml:space="preserve">   </w:t>
      </w:r>
    </w:p>
    <w:p w14:paraId="7AD85677" w14:textId="4F0B36EF" w:rsidR="0024378F" w:rsidRPr="00A300D6"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highlight w:val="yellow"/>
        </w:rPr>
      </w:pPr>
      <w:r w:rsidRPr="00A300D6">
        <w:rPr>
          <w:rStyle w:val="cf01"/>
          <w:rFonts w:ascii="Times New Roman" w:hAnsi="Times New Roman" w:cs="Times New Roman"/>
          <w:sz w:val="22"/>
          <w:szCs w:val="22"/>
          <w:highlight w:val="yellow"/>
        </w:rPr>
        <w:t>The building shall be of IA, IB, IIA, IIIA, IV-A, IV-B, IV-C, IV-HT or VA construction.</w:t>
      </w:r>
    </w:p>
    <w:p w14:paraId="587A1528"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building shall be equipped throughout with an automatic sprinkler system in accordance with Section 903.3.1.1. </w:t>
      </w:r>
      <w:r w:rsidRPr="00570AC8">
        <w:rPr>
          <w:rStyle w:val="eop"/>
          <w:sz w:val="22"/>
          <w:szCs w:val="22"/>
        </w:rPr>
        <w:t> </w:t>
      </w:r>
    </w:p>
    <w:p w14:paraId="5E8A782B" w14:textId="77777777" w:rsidR="0024378F" w:rsidRPr="00FB5DCE" w:rsidRDefault="0024378F" w:rsidP="0024378F">
      <w:pPr>
        <w:pStyle w:val="NormalWeb"/>
        <w:numPr>
          <w:ilvl w:val="0"/>
          <w:numId w:val="11"/>
        </w:numPr>
        <w:tabs>
          <w:tab w:val="clear" w:pos="720"/>
          <w:tab w:val="num" w:pos="1080"/>
        </w:tabs>
        <w:spacing w:before="0" w:beforeAutospacing="0" w:after="0" w:afterAutospacing="0"/>
        <w:ind w:left="1080"/>
        <w:rPr>
          <w:sz w:val="22"/>
          <w:szCs w:val="22"/>
          <w:highlight w:val="yellow"/>
        </w:rPr>
      </w:pPr>
      <w:r w:rsidRPr="00FB5DCE">
        <w:rPr>
          <w:sz w:val="22"/>
          <w:szCs w:val="22"/>
          <w:highlight w:val="yellow"/>
        </w:rPr>
        <w:t>An automatic smoke and fire detection system that activates the occupant notification system in accordance with </w:t>
      </w:r>
      <w:hyperlink r:id="rId12" w:history="1">
        <w:r w:rsidRPr="00FB5DCE">
          <w:rPr>
            <w:rStyle w:val="Hyperlink"/>
            <w:color w:val="auto"/>
            <w:sz w:val="22"/>
            <w:szCs w:val="22"/>
            <w:highlight w:val="yellow"/>
            <w:u w:val="none"/>
          </w:rPr>
          <w:t>Section 907.5</w:t>
        </w:r>
      </w:hyperlink>
      <w:r w:rsidRPr="00FB5DCE">
        <w:rPr>
          <w:sz w:val="22"/>
          <w:szCs w:val="22"/>
          <w:highlight w:val="yellow"/>
        </w:rPr>
        <w:t> shall be installed in buildings utilizing this appendix in all of the following locations:</w:t>
      </w:r>
    </w:p>
    <w:p w14:paraId="01310542" w14:textId="77777777" w:rsidR="0024378F" w:rsidRPr="00FB5DCE" w:rsidRDefault="0024378F" w:rsidP="0024378F">
      <w:pPr>
        <w:pStyle w:val="NormalWeb"/>
        <w:numPr>
          <w:ilvl w:val="3"/>
          <w:numId w:val="14"/>
        </w:numPr>
        <w:spacing w:before="0" w:beforeAutospacing="0" w:after="0" w:afterAutospacing="0"/>
        <w:ind w:left="1440"/>
        <w:jc w:val="both"/>
        <w:rPr>
          <w:sz w:val="22"/>
          <w:szCs w:val="22"/>
          <w:highlight w:val="yellow"/>
        </w:rPr>
      </w:pPr>
      <w:r w:rsidRPr="00FB5DCE">
        <w:rPr>
          <w:sz w:val="22"/>
          <w:szCs w:val="22"/>
          <w:highlight w:val="yellow"/>
        </w:rPr>
        <w:t>Common spaces outside of </w:t>
      </w:r>
      <w:r w:rsidRPr="00FB5DCE">
        <w:rPr>
          <w:rStyle w:val="formalusage"/>
          <w:i/>
          <w:iCs/>
          <w:sz w:val="22"/>
          <w:szCs w:val="22"/>
          <w:highlight w:val="yellow"/>
        </w:rPr>
        <w:t>dwelling units</w:t>
      </w:r>
      <w:r w:rsidRPr="00FB5DCE">
        <w:rPr>
          <w:sz w:val="22"/>
          <w:szCs w:val="22"/>
          <w:highlight w:val="yellow"/>
        </w:rPr>
        <w:t>.</w:t>
      </w:r>
    </w:p>
    <w:p w14:paraId="50A35D36" w14:textId="77777777" w:rsidR="0024378F" w:rsidRPr="00FB5DCE" w:rsidRDefault="0024378F" w:rsidP="0024378F">
      <w:pPr>
        <w:pStyle w:val="NormalWeb"/>
        <w:numPr>
          <w:ilvl w:val="3"/>
          <w:numId w:val="14"/>
        </w:numPr>
        <w:spacing w:before="0" w:beforeAutospacing="0" w:after="0" w:afterAutospacing="0"/>
        <w:ind w:left="1440"/>
        <w:jc w:val="both"/>
        <w:rPr>
          <w:sz w:val="22"/>
          <w:szCs w:val="22"/>
          <w:highlight w:val="yellow"/>
        </w:rPr>
      </w:pPr>
      <w:r w:rsidRPr="00FB5DCE">
        <w:rPr>
          <w:sz w:val="22"/>
          <w:szCs w:val="22"/>
          <w:highlight w:val="yellow"/>
        </w:rPr>
        <w:t>Laundry rooms, mechanical equipment rooms and storage rooms.</w:t>
      </w:r>
    </w:p>
    <w:p w14:paraId="263BCF37" w14:textId="77777777" w:rsidR="0024378F" w:rsidRPr="00FB5DCE" w:rsidRDefault="0024378F" w:rsidP="0024378F">
      <w:pPr>
        <w:pStyle w:val="NormalWeb"/>
        <w:numPr>
          <w:ilvl w:val="3"/>
          <w:numId w:val="14"/>
        </w:numPr>
        <w:spacing w:before="0" w:beforeAutospacing="0" w:after="0" w:afterAutospacing="0"/>
        <w:ind w:left="1440"/>
        <w:jc w:val="both"/>
        <w:rPr>
          <w:sz w:val="22"/>
          <w:szCs w:val="22"/>
          <w:highlight w:val="yellow"/>
        </w:rPr>
      </w:pPr>
      <w:r w:rsidRPr="00FB5DCE">
        <w:rPr>
          <w:sz w:val="22"/>
          <w:szCs w:val="22"/>
          <w:highlight w:val="yellow"/>
        </w:rPr>
        <w:t>All interior </w:t>
      </w:r>
      <w:r w:rsidRPr="00FB5DCE">
        <w:rPr>
          <w:rStyle w:val="formalusage"/>
          <w:i/>
          <w:iCs/>
          <w:sz w:val="22"/>
          <w:szCs w:val="22"/>
          <w:highlight w:val="yellow"/>
        </w:rPr>
        <w:t>corridors</w:t>
      </w:r>
      <w:r w:rsidRPr="00FB5DCE">
        <w:rPr>
          <w:sz w:val="22"/>
          <w:szCs w:val="22"/>
          <w:highlight w:val="yellow"/>
        </w:rPr>
        <w:t> serving </w:t>
      </w:r>
      <w:r w:rsidRPr="00FB5DCE">
        <w:rPr>
          <w:rStyle w:val="formalusage"/>
          <w:i/>
          <w:iCs/>
          <w:sz w:val="22"/>
          <w:szCs w:val="22"/>
          <w:highlight w:val="yellow"/>
        </w:rPr>
        <w:t>dwelling units</w:t>
      </w:r>
      <w:r w:rsidRPr="00FB5DCE">
        <w:rPr>
          <w:sz w:val="22"/>
          <w:szCs w:val="22"/>
          <w:highlight w:val="yellow"/>
        </w:rPr>
        <w:t>.</w:t>
      </w:r>
    </w:p>
    <w:p w14:paraId="2D95B3AA" w14:textId="2B52EF0A" w:rsidR="0024378F" w:rsidRPr="00FB5DCE" w:rsidRDefault="0024378F" w:rsidP="00762C55">
      <w:pPr>
        <w:pStyle w:val="NormalWeb"/>
        <w:numPr>
          <w:ilvl w:val="3"/>
          <w:numId w:val="14"/>
        </w:numPr>
        <w:spacing w:before="0" w:beforeAutospacing="0" w:after="0" w:afterAutospacing="0"/>
        <w:ind w:left="1440"/>
        <w:jc w:val="both"/>
        <w:rPr>
          <w:sz w:val="22"/>
          <w:szCs w:val="22"/>
          <w:highlight w:val="yellow"/>
        </w:rPr>
      </w:pPr>
      <w:r w:rsidRPr="00FB5DCE">
        <w:rPr>
          <w:sz w:val="22"/>
          <w:szCs w:val="22"/>
          <w:highlight w:val="yellow"/>
        </w:rPr>
        <w:t xml:space="preserve">All main floor landings of interior and exterior exit stairways.  </w:t>
      </w:r>
    </w:p>
    <w:p w14:paraId="355CE549" w14:textId="77777777" w:rsidR="00762C55" w:rsidRPr="00762C55" w:rsidRDefault="00762C55" w:rsidP="00762C55">
      <w:pPr>
        <w:pStyle w:val="NormalWeb"/>
        <w:spacing w:before="0" w:beforeAutospacing="0" w:after="0" w:afterAutospacing="0"/>
        <w:ind w:left="1440"/>
        <w:jc w:val="both"/>
        <w:rPr>
          <w:rStyle w:val="normaltextrun"/>
          <w:sz w:val="22"/>
          <w:szCs w:val="22"/>
        </w:rPr>
      </w:pPr>
    </w:p>
    <w:p w14:paraId="631A5952"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 xml:space="preserve">A minimum ½ </w:t>
      </w:r>
      <w:proofErr w:type="spellStart"/>
      <w:r w:rsidRPr="00570AC8">
        <w:rPr>
          <w:rStyle w:val="normaltextrun"/>
          <w:sz w:val="22"/>
          <w:szCs w:val="22"/>
        </w:rPr>
        <w:t>hr</w:t>
      </w:r>
      <w:proofErr w:type="spellEnd"/>
      <w:r w:rsidRPr="00570AC8">
        <w:rPr>
          <w:rStyle w:val="normaltextrun"/>
          <w:sz w:val="22"/>
          <w:szCs w:val="22"/>
        </w:rPr>
        <w:t xml:space="preserve"> fire-resistance rated </w:t>
      </w:r>
      <w:r w:rsidRPr="00570AC8">
        <w:rPr>
          <w:rStyle w:val="normaltextrun"/>
          <w:i/>
          <w:iCs/>
          <w:sz w:val="22"/>
          <w:szCs w:val="22"/>
        </w:rPr>
        <w:t>corridor</w:t>
      </w:r>
      <w:r w:rsidRPr="00570AC8">
        <w:rPr>
          <w:rStyle w:val="normaltextrun"/>
          <w:sz w:val="22"/>
          <w:szCs w:val="22"/>
        </w:rPr>
        <w:t xml:space="preserve"> shall separate each dwelling unit entry/exit door from the door to an </w:t>
      </w:r>
      <w:r w:rsidRPr="00B04324">
        <w:rPr>
          <w:rStyle w:val="normaltextrun"/>
          <w:i/>
          <w:iCs/>
          <w:sz w:val="22"/>
          <w:szCs w:val="22"/>
        </w:rPr>
        <w:t>interior exit stairway</w:t>
      </w:r>
      <w:r w:rsidRPr="00570AC8">
        <w:rPr>
          <w:rStyle w:val="normaltextrun"/>
          <w:sz w:val="22"/>
          <w:szCs w:val="22"/>
        </w:rPr>
        <w:t>, including any related exit passageway, on each floor. Dwelling unit doors shall not open directly into an interior exit stairway. Dwelling unit doors are permitted to open directly into an exterior exit stairway.</w:t>
      </w:r>
      <w:r w:rsidRPr="00570AC8">
        <w:rPr>
          <w:rStyle w:val="eop"/>
          <w:sz w:val="22"/>
          <w:szCs w:val="22"/>
        </w:rPr>
        <w:t> </w:t>
      </w:r>
    </w:p>
    <w:p w14:paraId="04E19375"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There shall be no more than 20 feet (6096 mm) of travel to the exit stairway from the entry/exit door of any dwelling unit.</w:t>
      </w:r>
      <w:r w:rsidRPr="00570AC8">
        <w:rPr>
          <w:rStyle w:val="eop"/>
          <w:sz w:val="22"/>
          <w:szCs w:val="22"/>
        </w:rPr>
        <w:t> </w:t>
      </w:r>
    </w:p>
    <w:p w14:paraId="5CE29BDC" w14:textId="77777777" w:rsidR="0024378F" w:rsidRPr="00DF7A6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highlight w:val="yellow"/>
        </w:rPr>
      </w:pPr>
      <w:r w:rsidRPr="00DF7A68">
        <w:rPr>
          <w:rStyle w:val="normaltextrun"/>
          <w:sz w:val="22"/>
          <w:szCs w:val="22"/>
          <w:highlight w:val="yellow"/>
        </w:rPr>
        <w:t>Travel distance measured in accordance with Section 1017 shall not exceed 125 feet.</w:t>
      </w:r>
      <w:r w:rsidRPr="00DF7A68">
        <w:rPr>
          <w:rStyle w:val="eop"/>
          <w:sz w:val="22"/>
          <w:szCs w:val="22"/>
          <w:highlight w:val="yellow"/>
        </w:rPr>
        <w:t> </w:t>
      </w:r>
    </w:p>
    <w:p w14:paraId="7C823523" w14:textId="7AFE0555" w:rsidR="0024378F" w:rsidRPr="00E47719"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An exterior</w:t>
      </w:r>
      <w:r w:rsidRPr="00570AC8">
        <w:rPr>
          <w:rStyle w:val="normaltextrun"/>
          <w:color w:val="FF0000"/>
          <w:sz w:val="22"/>
          <w:szCs w:val="22"/>
        </w:rPr>
        <w:t xml:space="preserve"> </w:t>
      </w:r>
      <w:r w:rsidRPr="00570AC8">
        <w:rPr>
          <w:rStyle w:val="normaltextrun"/>
          <w:sz w:val="22"/>
          <w:szCs w:val="22"/>
        </w:rPr>
        <w:t>exit stairway or interior exit stairway shall be provided. The interior exit stairway, including any related exit passageway, shall be pressurized in accordance with Section 909.6.3 and Section 909.20. Doors in the stairway shall swing into the interior exit stairway regardless of the occupant load served</w:t>
      </w:r>
      <w:r w:rsidR="005363DD">
        <w:rPr>
          <w:rStyle w:val="normaltextrun"/>
          <w:sz w:val="22"/>
          <w:szCs w:val="22"/>
        </w:rPr>
        <w:t>. Doors from the interior exit stairway to the building exterior shall</w:t>
      </w:r>
      <w:r w:rsidRPr="00570AC8">
        <w:rPr>
          <w:rStyle w:val="normaltextrun"/>
          <w:sz w:val="22"/>
          <w:szCs w:val="22"/>
        </w:rPr>
        <w:t xml:space="preserve"> swing in the direction of exit travel.  Stairway shaft pressurization equipment shall be connected to legally required standby power per Section </w:t>
      </w:r>
      <w:r w:rsidRPr="00E47719">
        <w:rPr>
          <w:rStyle w:val="normaltextrun"/>
          <w:sz w:val="22"/>
          <w:szCs w:val="22"/>
        </w:rPr>
        <w:t>909.21.5.</w:t>
      </w:r>
      <w:r w:rsidRPr="00E47719">
        <w:rPr>
          <w:rStyle w:val="eop"/>
          <w:sz w:val="22"/>
          <w:szCs w:val="22"/>
        </w:rPr>
        <w:t> </w:t>
      </w:r>
      <w:r w:rsidR="00002CD3" w:rsidRPr="009F5065">
        <w:rPr>
          <w:rFonts w:ascii="Open Sans" w:hAnsi="Open Sans" w:cs="Open Sans"/>
          <w:shd w:val="clear" w:color="auto" w:fill="FFFFFF"/>
        </w:rPr>
        <w:t xml:space="preserve"> </w:t>
      </w:r>
      <w:r w:rsidR="00002CD3" w:rsidRPr="009F5065">
        <w:rPr>
          <w:sz w:val="22"/>
          <w:szCs w:val="22"/>
          <w:shd w:val="clear" w:color="auto" w:fill="FFFFFF"/>
        </w:rPr>
        <w:t xml:space="preserve">For the purposes of this section, legally required standby power shall comply with </w:t>
      </w:r>
      <w:r w:rsidR="00466D93" w:rsidRPr="009F5065">
        <w:rPr>
          <w:sz w:val="22"/>
          <w:szCs w:val="22"/>
          <w:shd w:val="clear" w:color="auto" w:fill="FFFFFF"/>
        </w:rPr>
        <w:t xml:space="preserve">2023 </w:t>
      </w:r>
      <w:r w:rsidR="00002CD3" w:rsidRPr="009F5065">
        <w:rPr>
          <w:sz w:val="22"/>
          <w:szCs w:val="22"/>
          <w:shd w:val="clear" w:color="auto" w:fill="FFFFFF"/>
        </w:rPr>
        <w:t>NEC Section 701.12, options (D), (E), (F)</w:t>
      </w:r>
      <w:r w:rsidR="00E563F7" w:rsidRPr="009F5065">
        <w:rPr>
          <w:sz w:val="22"/>
          <w:szCs w:val="22"/>
          <w:shd w:val="clear" w:color="auto" w:fill="FFFFFF"/>
        </w:rPr>
        <w:t xml:space="preserve"> or</w:t>
      </w:r>
      <w:r w:rsidR="00002CD3" w:rsidRPr="009F5065">
        <w:rPr>
          <w:sz w:val="22"/>
          <w:szCs w:val="22"/>
          <w:shd w:val="clear" w:color="auto" w:fill="FFFFFF"/>
        </w:rPr>
        <w:t xml:space="preserve"> (H) or subsequent revised section number(s).</w:t>
      </w:r>
    </w:p>
    <w:p w14:paraId="2A3D8756" w14:textId="7862A31A" w:rsidR="0024378F" w:rsidRPr="00E47719"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E47719">
        <w:rPr>
          <w:rStyle w:val="normaltextrun"/>
          <w:sz w:val="22"/>
          <w:szCs w:val="22"/>
        </w:rPr>
        <w:t>Elevator </w:t>
      </w:r>
      <w:r w:rsidRPr="00E47719">
        <w:rPr>
          <w:rStyle w:val="spellingerror"/>
          <w:rFonts w:eastAsiaTheme="majorEastAsia"/>
          <w:sz w:val="22"/>
          <w:szCs w:val="22"/>
        </w:rPr>
        <w:t>hoistway</w:t>
      </w:r>
      <w:r w:rsidRPr="00E47719">
        <w:rPr>
          <w:rStyle w:val="normaltextrun"/>
          <w:sz w:val="22"/>
          <w:szCs w:val="22"/>
        </w:rPr>
        <w:t> openings shall be protected in accordance with Section 3006.3. Where approved by the building official, natural ventilation is permitted to be substituted for pressurization where the ventilation would prevent the accumulation of smoke or toxic gases.  </w:t>
      </w:r>
      <w:r w:rsidRPr="00E47719">
        <w:rPr>
          <w:rStyle w:val="spellingerror"/>
          <w:rFonts w:eastAsiaTheme="majorEastAsia"/>
          <w:sz w:val="22"/>
          <w:szCs w:val="22"/>
        </w:rPr>
        <w:t>Hoistway</w:t>
      </w:r>
      <w:r w:rsidRPr="00E47719">
        <w:rPr>
          <w:rStyle w:val="normaltextrun"/>
          <w:sz w:val="22"/>
          <w:szCs w:val="22"/>
        </w:rPr>
        <w:t> shaft pressurization equipment shall be connected to legally required standby power per Section 909.21.5.</w:t>
      </w:r>
      <w:r w:rsidRPr="00E47719">
        <w:rPr>
          <w:rStyle w:val="eop"/>
          <w:sz w:val="22"/>
          <w:szCs w:val="22"/>
        </w:rPr>
        <w:t> </w:t>
      </w:r>
      <w:r w:rsidR="009B072F" w:rsidRPr="009F5065">
        <w:rPr>
          <w:rFonts w:ascii="Open Sans" w:hAnsi="Open Sans" w:cs="Open Sans"/>
          <w:shd w:val="clear" w:color="auto" w:fill="FFFFFF"/>
        </w:rPr>
        <w:t xml:space="preserve"> </w:t>
      </w:r>
      <w:r w:rsidR="009B072F" w:rsidRPr="009F5065">
        <w:rPr>
          <w:sz w:val="22"/>
          <w:szCs w:val="22"/>
          <w:shd w:val="clear" w:color="auto" w:fill="FFFFFF"/>
        </w:rPr>
        <w:t>For the purposes of this section, legally required standby power shall comply with 202</w:t>
      </w:r>
      <w:r w:rsidR="00FC2D86" w:rsidRPr="009F5065">
        <w:rPr>
          <w:sz w:val="22"/>
          <w:szCs w:val="22"/>
          <w:shd w:val="clear" w:color="auto" w:fill="FFFFFF"/>
        </w:rPr>
        <w:t>3</w:t>
      </w:r>
      <w:r w:rsidR="009B072F" w:rsidRPr="009F5065">
        <w:rPr>
          <w:sz w:val="22"/>
          <w:szCs w:val="22"/>
          <w:shd w:val="clear" w:color="auto" w:fill="FFFFFF"/>
        </w:rPr>
        <w:t xml:space="preserve"> NEC Section 701.12, options (D), (E), (F), or (</w:t>
      </w:r>
      <w:r w:rsidR="00BC463B" w:rsidRPr="009F5065">
        <w:rPr>
          <w:sz w:val="22"/>
          <w:szCs w:val="22"/>
          <w:shd w:val="clear" w:color="auto" w:fill="FFFFFF"/>
        </w:rPr>
        <w:t>H</w:t>
      </w:r>
      <w:r w:rsidR="009B072F" w:rsidRPr="009F5065">
        <w:rPr>
          <w:sz w:val="22"/>
          <w:szCs w:val="22"/>
          <w:shd w:val="clear" w:color="auto" w:fill="FFFFFF"/>
        </w:rPr>
        <w:t>) or subsequent revised section number(s).</w:t>
      </w:r>
    </w:p>
    <w:p w14:paraId="157DBF64"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exit serving the Group R occupancy shall not discharge through any other occupancy, including an accessory parking garage.</w:t>
      </w:r>
      <w:r w:rsidRPr="00570AC8">
        <w:rPr>
          <w:rStyle w:val="eop"/>
          <w:sz w:val="22"/>
          <w:szCs w:val="22"/>
        </w:rPr>
        <w:t> </w:t>
      </w:r>
    </w:p>
    <w:p w14:paraId="14242E4E" w14:textId="77777777"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sz w:val="22"/>
          <w:szCs w:val="22"/>
        </w:rPr>
      </w:pPr>
      <w:r w:rsidRPr="00570AC8">
        <w:rPr>
          <w:rStyle w:val="normaltextrun"/>
          <w:sz w:val="22"/>
          <w:szCs w:val="22"/>
        </w:rPr>
        <w:t>The exit shall not terminate in an egress court where the court depth exceeds the court width unless it is possible to exit in either direction to the public way.</w:t>
      </w:r>
      <w:r w:rsidRPr="00570AC8">
        <w:rPr>
          <w:rStyle w:val="eop"/>
          <w:sz w:val="22"/>
          <w:szCs w:val="22"/>
        </w:rPr>
        <w:t> </w:t>
      </w:r>
    </w:p>
    <w:p w14:paraId="4B112B0B" w14:textId="571D7FFB" w:rsidR="0024378F" w:rsidRPr="00570AC8" w:rsidRDefault="0024378F" w:rsidP="0024378F">
      <w:pPr>
        <w:pStyle w:val="paragraph"/>
        <w:numPr>
          <w:ilvl w:val="0"/>
          <w:numId w:val="11"/>
        </w:numPr>
        <w:tabs>
          <w:tab w:val="clear" w:pos="720"/>
          <w:tab w:val="num" w:pos="1080"/>
        </w:tabs>
        <w:spacing w:before="0" w:beforeAutospacing="0" w:after="120" w:afterAutospacing="0"/>
        <w:ind w:left="1080"/>
        <w:textAlignment w:val="baseline"/>
        <w:rPr>
          <w:rStyle w:val="eop"/>
          <w:sz w:val="22"/>
          <w:szCs w:val="22"/>
        </w:rPr>
      </w:pPr>
      <w:r w:rsidRPr="00570AC8">
        <w:rPr>
          <w:rStyle w:val="normaltextrun"/>
          <w:sz w:val="22"/>
          <w:szCs w:val="22"/>
        </w:rPr>
        <w:t>Openings </w:t>
      </w:r>
      <w:r w:rsidRPr="00570AC8">
        <w:rPr>
          <w:rStyle w:val="normaltextrun"/>
          <w:sz w:val="22"/>
          <w:szCs w:val="22"/>
          <w:shd w:val="clear" w:color="auto" w:fill="FFFFFF"/>
        </w:rPr>
        <w:t xml:space="preserve">within 10 feet (3048 mm) of </w:t>
      </w:r>
      <w:r w:rsidR="00A10BF1">
        <w:rPr>
          <w:rStyle w:val="normaltextrun"/>
          <w:sz w:val="22"/>
          <w:szCs w:val="22"/>
          <w:shd w:val="clear" w:color="auto" w:fill="FFFFFF"/>
        </w:rPr>
        <w:t>an</w:t>
      </w:r>
      <w:r w:rsidR="00A10BF1" w:rsidRPr="009119E6">
        <w:rPr>
          <w:rStyle w:val="normaltextrun"/>
          <w:sz w:val="22"/>
          <w:szCs w:val="22"/>
          <w:shd w:val="clear" w:color="auto" w:fill="FFFFFF"/>
        </w:rPr>
        <w:t xml:space="preserve"> </w:t>
      </w:r>
      <w:r w:rsidR="00955AD1" w:rsidRPr="009119E6">
        <w:rPr>
          <w:rStyle w:val="normaltextrun"/>
          <w:sz w:val="22"/>
          <w:szCs w:val="22"/>
          <w:shd w:val="clear" w:color="auto" w:fill="FFFFFF"/>
        </w:rPr>
        <w:t xml:space="preserve">exterior exit stairway </w:t>
      </w:r>
      <w:r w:rsidR="00A10BF1" w:rsidRPr="009119E6">
        <w:rPr>
          <w:rStyle w:val="normaltextrun"/>
          <w:sz w:val="22"/>
          <w:szCs w:val="22"/>
          <w:shd w:val="clear" w:color="auto" w:fill="FFFFFF"/>
        </w:rPr>
        <w:t xml:space="preserve">or </w:t>
      </w:r>
      <w:r w:rsidRPr="009119E6">
        <w:rPr>
          <w:rStyle w:val="normaltextrun"/>
          <w:sz w:val="22"/>
          <w:szCs w:val="22"/>
          <w:shd w:val="clear" w:color="auto" w:fill="FFFFFF"/>
        </w:rPr>
        <w:t xml:space="preserve">nonrated exterior walls of the </w:t>
      </w:r>
      <w:r w:rsidR="006F77D5" w:rsidRPr="009119E6">
        <w:rPr>
          <w:rStyle w:val="normaltextrun"/>
          <w:sz w:val="22"/>
          <w:szCs w:val="22"/>
          <w:shd w:val="clear" w:color="auto" w:fill="FFFFFF"/>
        </w:rPr>
        <w:t xml:space="preserve">interior exit stairway enclosure </w:t>
      </w:r>
      <w:r w:rsidRPr="009119E6">
        <w:rPr>
          <w:rStyle w:val="normaltextrun"/>
          <w:sz w:val="22"/>
          <w:szCs w:val="22"/>
          <w:shd w:val="clear" w:color="auto" w:fill="FFFFFF"/>
        </w:rPr>
        <w:t>shall be protected by opening protectives having a fire protection rating of not less than ¾ hour.</w:t>
      </w:r>
      <w:r w:rsidRPr="009119E6">
        <w:rPr>
          <w:rStyle w:val="eop"/>
          <w:sz w:val="22"/>
          <w:szCs w:val="22"/>
          <w:shd w:val="clear" w:color="auto" w:fill="FFFFFF"/>
        </w:rPr>
        <w:t> </w:t>
      </w:r>
    </w:p>
    <w:p w14:paraId="6CAD347D" w14:textId="6CB6C7B2" w:rsidR="0024378F" w:rsidRDefault="0024378F" w:rsidP="0024378F">
      <w:pPr>
        <w:pStyle w:val="paragraph"/>
        <w:numPr>
          <w:ilvl w:val="0"/>
          <w:numId w:val="11"/>
        </w:numPr>
        <w:tabs>
          <w:tab w:val="clear" w:pos="720"/>
          <w:tab w:val="num" w:pos="1080"/>
        </w:tabs>
        <w:spacing w:before="0" w:beforeAutospacing="0" w:after="120" w:afterAutospacing="0"/>
        <w:ind w:left="1080"/>
        <w:textAlignment w:val="baseline"/>
        <w:rPr>
          <w:rStyle w:val="eop"/>
          <w:sz w:val="22"/>
          <w:szCs w:val="22"/>
        </w:rPr>
      </w:pPr>
      <w:r w:rsidRPr="00570AC8">
        <w:rPr>
          <w:rStyle w:val="normaltextrun"/>
          <w:sz w:val="22"/>
          <w:szCs w:val="22"/>
        </w:rPr>
        <w:t xml:space="preserve">Emergency escape and rescue openings complying with Section 1030 shall be provided </w:t>
      </w:r>
      <w:r w:rsidR="006961D0" w:rsidRPr="00570AC8">
        <w:rPr>
          <w:rStyle w:val="normaltextrun"/>
          <w:sz w:val="22"/>
          <w:szCs w:val="22"/>
        </w:rPr>
        <w:t>in</w:t>
      </w:r>
      <w:r w:rsidRPr="00570AC8">
        <w:rPr>
          <w:rStyle w:val="normaltextrun"/>
          <w:sz w:val="22"/>
          <w:szCs w:val="22"/>
        </w:rPr>
        <w:t xml:space="preserve"> all sleeping rooms on all floors served by the single exit.</w:t>
      </w:r>
      <w:r w:rsidRPr="00570AC8">
        <w:rPr>
          <w:rStyle w:val="eop"/>
          <w:sz w:val="22"/>
          <w:szCs w:val="22"/>
        </w:rPr>
        <w:t xml:space="preserve">  </w:t>
      </w:r>
    </w:p>
    <w:p w14:paraId="45941F0A" w14:textId="3BFAEF56" w:rsidR="00D35B86" w:rsidRPr="00C94840" w:rsidRDefault="00D35B86" w:rsidP="0024378F">
      <w:pPr>
        <w:pStyle w:val="paragraph"/>
        <w:numPr>
          <w:ilvl w:val="0"/>
          <w:numId w:val="11"/>
        </w:numPr>
        <w:tabs>
          <w:tab w:val="clear" w:pos="720"/>
          <w:tab w:val="num" w:pos="1080"/>
        </w:tabs>
        <w:spacing w:before="0" w:beforeAutospacing="0" w:after="120" w:afterAutospacing="0"/>
        <w:ind w:left="1080"/>
        <w:textAlignment w:val="baseline"/>
        <w:rPr>
          <w:strike/>
          <w:sz w:val="22"/>
          <w:szCs w:val="22"/>
        </w:rPr>
      </w:pPr>
      <w:r w:rsidRPr="00C94840">
        <w:rPr>
          <w:strike/>
          <w:sz w:val="22"/>
          <w:szCs w:val="22"/>
        </w:rPr>
        <w:t>There shall be a maximum of two buildings on a single lot utilizing the single-exit stairway provisions of this appendix.</w:t>
      </w:r>
    </w:p>
    <w:p w14:paraId="70C0A0D1" w14:textId="77777777" w:rsidR="0024378F" w:rsidRDefault="0024378F" w:rsidP="00FB746A">
      <w:pPr>
        <w:tabs>
          <w:tab w:val="left" w:pos="-720"/>
        </w:tabs>
        <w:rPr>
          <w:rFonts w:ascii="Times New Roman" w:hAnsi="Times New Roman"/>
        </w:rPr>
      </w:pPr>
    </w:p>
    <w:p w14:paraId="2FF8A084" w14:textId="77777777" w:rsidR="0072394F" w:rsidRDefault="0072394F" w:rsidP="00BB1D76">
      <w:pPr>
        <w:tabs>
          <w:tab w:val="left" w:pos="-720"/>
          <w:tab w:val="left" w:pos="0"/>
          <w:tab w:val="left" w:pos="720"/>
        </w:tabs>
        <w:rPr>
          <w:rFonts w:ascii="Times New Roman" w:hAnsi="Times New Roman"/>
        </w:rPr>
      </w:pPr>
    </w:p>
    <w:p w14:paraId="42A3C040" w14:textId="77777777" w:rsidR="00DA1DE4" w:rsidRDefault="00DA1DE4" w:rsidP="00BB1D76">
      <w:pPr>
        <w:tabs>
          <w:tab w:val="left" w:pos="-720"/>
          <w:tab w:val="left" w:pos="0"/>
          <w:tab w:val="left" w:pos="720"/>
        </w:tabs>
        <w:rPr>
          <w:rFonts w:ascii="Times New Roman" w:hAnsi="Times New Roman"/>
        </w:rPr>
      </w:pPr>
    </w:p>
    <w:p w14:paraId="2C6B6FE2" w14:textId="77777777" w:rsidR="008B7967" w:rsidRDefault="008B7967">
      <w:pPr>
        <w:spacing w:after="200" w:line="276" w:lineRule="auto"/>
        <w:rPr>
          <w:rFonts w:ascii="Times New Roman" w:hAnsi="Times New Roman"/>
          <w:b/>
          <w:szCs w:val="24"/>
        </w:rPr>
      </w:pPr>
      <w:r>
        <w:rPr>
          <w:rFonts w:ascii="Times New Roman" w:hAnsi="Times New Roman"/>
          <w:b/>
          <w:szCs w:val="24"/>
        </w:rPr>
        <w:br w:type="page"/>
      </w:r>
    </w:p>
    <w:p w14:paraId="64CBAB3A" w14:textId="338FBDA7" w:rsidR="008232E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lastRenderedPageBreak/>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14:paraId="1B19C9A1" w14:textId="77777777" w:rsidR="005D1D09" w:rsidRPr="001906D6" w:rsidRDefault="005D1D09" w:rsidP="001906D6">
      <w:pPr>
        <w:pStyle w:val="ListParagraph"/>
        <w:tabs>
          <w:tab w:val="left" w:pos="-720"/>
          <w:tab w:val="left" w:pos="720"/>
        </w:tabs>
        <w:ind w:left="360"/>
        <w:rPr>
          <w:rFonts w:ascii="Times New Roman" w:hAnsi="Times New Roman"/>
          <w:b/>
          <w:sz w:val="22"/>
          <w:szCs w:val="22"/>
        </w:rPr>
      </w:pPr>
    </w:p>
    <w:p w14:paraId="5B1BE707" w14:textId="1C986B3F"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r w:rsidRPr="001906D6">
        <w:rPr>
          <w:rStyle w:val="normaltextrun"/>
          <w:rFonts w:eastAsiaTheme="majorEastAsia"/>
          <w:sz w:val="22"/>
          <w:szCs w:val="22"/>
        </w:rPr>
        <w:t>The 2021 W</w:t>
      </w:r>
      <w:r w:rsidR="00745618">
        <w:rPr>
          <w:rStyle w:val="normaltextrun"/>
          <w:rFonts w:eastAsiaTheme="majorEastAsia"/>
          <w:sz w:val="22"/>
          <w:szCs w:val="22"/>
        </w:rPr>
        <w:t>ashington</w:t>
      </w:r>
      <w:r w:rsidRPr="001906D6">
        <w:rPr>
          <w:rStyle w:val="normaltextrun"/>
          <w:rFonts w:eastAsiaTheme="majorEastAsia"/>
          <w:sz w:val="22"/>
          <w:szCs w:val="22"/>
        </w:rPr>
        <w:t xml:space="preserve"> State Building Code Table 1006.3.4(1) permits a single exit R-2 occupancy building up to 3 stories in height.  In April 2023, the Washington State Legislature passed substitute senate bill SSB 5491-S which directs the state building code council to adopt provisions in the 2024 code cycle that permit a single exit stairway to serve multifamily residential structures up to six stories above grade plane.  The legislation further states “The recommendations must include considerations for adequate and available water supply, the presence and response time of a professional fire department and any other provisions necessary to ensure public health, safety, and general welfare.”  </w:t>
      </w:r>
    </w:p>
    <w:p w14:paraId="587ADCFF" w14:textId="77777777"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p>
    <w:p w14:paraId="7C7CFA39" w14:textId="2E06B361"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r w:rsidRPr="001906D6">
        <w:rPr>
          <w:rStyle w:val="normaltextrun"/>
          <w:rFonts w:eastAsiaTheme="majorEastAsia"/>
          <w:sz w:val="22"/>
          <w:szCs w:val="22"/>
        </w:rPr>
        <w:t>This code change proposal is submitted for SBCC TAG review as a package of provisions that meets the legislative intent.  This proposal was developed by a workgroup of the Washington Association of Building Officials Technical Code Development Committee (WABO TCD).  We worked in close collaboration with and have the support of the Washington State Association of Fire Marshalls (WS</w:t>
      </w:r>
      <w:r w:rsidR="003D51C0">
        <w:rPr>
          <w:rStyle w:val="normaltextrun"/>
          <w:rFonts w:eastAsiaTheme="majorEastAsia"/>
          <w:sz w:val="22"/>
          <w:szCs w:val="22"/>
        </w:rPr>
        <w:t>A</w:t>
      </w:r>
      <w:r w:rsidRPr="001906D6">
        <w:rPr>
          <w:rStyle w:val="normaltextrun"/>
          <w:rFonts w:eastAsiaTheme="majorEastAsia"/>
          <w:sz w:val="22"/>
          <w:szCs w:val="22"/>
        </w:rPr>
        <w:t>FM).  This proposal is drafted as an Appendix which permits a jurisdiction to choose whether to adopt these provisions. WS</w:t>
      </w:r>
      <w:r w:rsidR="003D51C0">
        <w:rPr>
          <w:rStyle w:val="normaltextrun"/>
          <w:rFonts w:eastAsiaTheme="majorEastAsia"/>
          <w:sz w:val="22"/>
          <w:szCs w:val="22"/>
        </w:rPr>
        <w:t>A</w:t>
      </w:r>
      <w:r w:rsidRPr="001906D6">
        <w:rPr>
          <w:rStyle w:val="normaltextrun"/>
          <w:rFonts w:eastAsiaTheme="majorEastAsia"/>
          <w:sz w:val="22"/>
          <w:szCs w:val="22"/>
        </w:rPr>
        <w:t xml:space="preserve">FM provided the pre-amble which describes what a jurisdiction should take into account when deciding whether to adopt these provisions. </w:t>
      </w:r>
    </w:p>
    <w:p w14:paraId="619869DF" w14:textId="77777777" w:rsidR="005D1D09" w:rsidRPr="001906D6" w:rsidRDefault="005D1D09" w:rsidP="00A07D5F">
      <w:pPr>
        <w:pStyle w:val="paragraph"/>
        <w:spacing w:before="0" w:beforeAutospacing="0" w:after="0" w:afterAutospacing="0" w:line="276" w:lineRule="auto"/>
        <w:ind w:left="360"/>
        <w:textAlignment w:val="baseline"/>
        <w:rPr>
          <w:rStyle w:val="normaltextrun"/>
          <w:rFonts w:eastAsiaTheme="majorEastAsia"/>
          <w:sz w:val="22"/>
          <w:szCs w:val="22"/>
        </w:rPr>
      </w:pPr>
    </w:p>
    <w:p w14:paraId="2F2271F2" w14:textId="325744D9" w:rsidR="005D1D09" w:rsidRPr="001906D6" w:rsidRDefault="005D1D09" w:rsidP="00A07D5F">
      <w:pPr>
        <w:pStyle w:val="paragraph"/>
        <w:spacing w:before="0" w:beforeAutospacing="0" w:after="0" w:afterAutospacing="0" w:line="276" w:lineRule="auto"/>
        <w:ind w:left="360"/>
        <w:textAlignment w:val="baseline"/>
        <w:rPr>
          <w:rStyle w:val="eop"/>
          <w:rFonts w:eastAsiaTheme="majorEastAsia"/>
          <w:sz w:val="22"/>
          <w:szCs w:val="22"/>
        </w:rPr>
      </w:pPr>
      <w:r w:rsidRPr="001906D6">
        <w:rPr>
          <w:rStyle w:val="normaltextrun"/>
          <w:rFonts w:eastAsiaTheme="majorEastAsia"/>
          <w:sz w:val="22"/>
          <w:szCs w:val="22"/>
        </w:rPr>
        <w:t xml:space="preserve">The City of Seattle currently amends the </w:t>
      </w:r>
      <w:r w:rsidR="005B4A14">
        <w:rPr>
          <w:rStyle w:val="normaltextrun"/>
          <w:rFonts w:eastAsiaTheme="majorEastAsia"/>
          <w:sz w:val="22"/>
          <w:szCs w:val="22"/>
        </w:rPr>
        <w:t>Washington</w:t>
      </w:r>
      <w:r w:rsidRPr="001906D6">
        <w:rPr>
          <w:rStyle w:val="normaltextrun"/>
          <w:rFonts w:eastAsiaTheme="majorEastAsia"/>
          <w:sz w:val="22"/>
          <w:szCs w:val="22"/>
        </w:rPr>
        <w:t xml:space="preserve"> State Building Code to permit a single exit to serve up to 5 stories of a residential R-2 occupancy (4 units maximum per story) in a building that is a maximum of 6 stories in height.  These provisions can be found in the 2018 Seattle Building Code (SBC) Section 1006.3.3, item 7.  A version of these provisions has been in the Seattle codes for quite some time dating back to the 1977 Seattle Building code</w:t>
      </w:r>
      <w:bookmarkStart w:id="1" w:name="_Hlk167421244"/>
      <w:r w:rsidRPr="001906D6">
        <w:rPr>
          <w:rStyle w:val="normaltextrun"/>
          <w:rFonts w:eastAsiaTheme="majorEastAsia"/>
          <w:sz w:val="22"/>
          <w:szCs w:val="22"/>
        </w:rPr>
        <w:t xml:space="preserve">, driven by the development happening at the time. There were many small lots being developed in the </w:t>
      </w:r>
      <w:r w:rsidR="003F19C8">
        <w:rPr>
          <w:rStyle w:val="normaltextrun"/>
          <w:rFonts w:eastAsiaTheme="majorEastAsia"/>
          <w:sz w:val="22"/>
          <w:szCs w:val="22"/>
        </w:rPr>
        <w:t>c</w:t>
      </w:r>
      <w:r w:rsidRPr="001906D6">
        <w:rPr>
          <w:rStyle w:val="normaltextrun"/>
          <w:rFonts w:eastAsiaTheme="majorEastAsia"/>
          <w:sz w:val="22"/>
          <w:szCs w:val="22"/>
        </w:rPr>
        <w:t>ity and two exits took up a significant portion of the floor plate</w:t>
      </w:r>
      <w:bookmarkEnd w:id="1"/>
      <w:r w:rsidRPr="001906D6">
        <w:rPr>
          <w:rStyle w:val="normaltextrun"/>
          <w:rFonts w:eastAsiaTheme="majorEastAsia"/>
          <w:sz w:val="22"/>
          <w:szCs w:val="22"/>
        </w:rPr>
        <w:t>.  The ‘Seattle Special’ as it came to be known, was developed with a reliance on the Seattle fire department’s quick response times and the reliability of the municipal water supply.   </w:t>
      </w:r>
      <w:r w:rsidRPr="001906D6">
        <w:rPr>
          <w:rStyle w:val="eop"/>
          <w:rFonts w:eastAsiaTheme="majorEastAsia"/>
          <w:sz w:val="22"/>
          <w:szCs w:val="22"/>
        </w:rPr>
        <w:t> </w:t>
      </w:r>
    </w:p>
    <w:p w14:paraId="577A13E6" w14:textId="77777777" w:rsidR="005D1D09" w:rsidRPr="001906D6" w:rsidRDefault="005D1D09" w:rsidP="00A07D5F">
      <w:pPr>
        <w:pStyle w:val="paragraph"/>
        <w:spacing w:before="0" w:beforeAutospacing="0" w:after="0" w:afterAutospacing="0" w:line="276" w:lineRule="auto"/>
        <w:ind w:left="360"/>
        <w:textAlignment w:val="baseline"/>
        <w:rPr>
          <w:rStyle w:val="eop"/>
          <w:rFonts w:eastAsiaTheme="majorEastAsia"/>
          <w:sz w:val="22"/>
          <w:szCs w:val="22"/>
        </w:rPr>
      </w:pPr>
    </w:p>
    <w:p w14:paraId="015A473C" w14:textId="77777777" w:rsidR="005D1D09" w:rsidRPr="001906D6" w:rsidRDefault="005D1D09" w:rsidP="00A07D5F">
      <w:pPr>
        <w:spacing w:line="276" w:lineRule="auto"/>
        <w:ind w:left="360"/>
        <w:rPr>
          <w:rStyle w:val="normaltextrun"/>
          <w:rFonts w:ascii="Times New Roman" w:eastAsiaTheme="majorEastAsia" w:hAnsi="Times New Roman"/>
          <w:sz w:val="22"/>
          <w:szCs w:val="22"/>
        </w:rPr>
      </w:pPr>
      <w:r w:rsidRPr="001906D6">
        <w:rPr>
          <w:rStyle w:val="normaltextrun"/>
          <w:rFonts w:ascii="Times New Roman" w:eastAsiaTheme="majorEastAsia" w:hAnsi="Times New Roman"/>
          <w:sz w:val="22"/>
          <w:szCs w:val="22"/>
        </w:rPr>
        <w:t xml:space="preserve">The City of Seattle’s existing amendments to the Washington State Building Code serve as a foundation for this proposal. </w:t>
      </w:r>
      <w:r w:rsidRPr="001906D6">
        <w:rPr>
          <w:rFonts w:ascii="Times New Roman" w:hAnsi="Times New Roman"/>
          <w:sz w:val="22"/>
          <w:szCs w:val="22"/>
        </w:rPr>
        <w:t>The changes are designed to balance housing development needs with safety concerns.</w:t>
      </w:r>
      <w:r w:rsidRPr="001906D6">
        <w:rPr>
          <w:rStyle w:val="normaltextrun"/>
          <w:rFonts w:ascii="Times New Roman" w:eastAsiaTheme="majorEastAsia" w:hAnsi="Times New Roman"/>
          <w:sz w:val="22"/>
          <w:szCs w:val="22"/>
        </w:rPr>
        <w:t>  </w:t>
      </w:r>
      <w:r w:rsidRPr="001906D6">
        <w:rPr>
          <w:rStyle w:val="eop"/>
          <w:rFonts w:ascii="Times New Roman" w:eastAsiaTheme="majorEastAsia" w:hAnsi="Times New Roman"/>
          <w:sz w:val="22"/>
          <w:szCs w:val="22"/>
        </w:rPr>
        <w:t> </w:t>
      </w:r>
      <w:r w:rsidRPr="001906D6">
        <w:rPr>
          <w:rStyle w:val="normaltextrun"/>
          <w:rFonts w:ascii="Times New Roman" w:eastAsiaTheme="majorEastAsia" w:hAnsi="Times New Roman"/>
          <w:sz w:val="22"/>
          <w:szCs w:val="22"/>
        </w:rPr>
        <w:t>Since there is no redundancy with the single stair, these provisions offset this by limiting the amount of time it takes to get out of the building, and by providing a well-protected egress environment from the point you leave your unit to the street.</w:t>
      </w:r>
    </w:p>
    <w:p w14:paraId="063927FE" w14:textId="77777777" w:rsidR="00762C55" w:rsidRDefault="00762C55" w:rsidP="00A07D5F">
      <w:pPr>
        <w:spacing w:line="276" w:lineRule="auto"/>
        <w:ind w:left="360"/>
        <w:rPr>
          <w:rFonts w:ascii="Times New Roman" w:hAnsi="Times New Roman"/>
          <w:sz w:val="22"/>
          <w:szCs w:val="22"/>
        </w:rPr>
      </w:pPr>
    </w:p>
    <w:p w14:paraId="581E4B87" w14:textId="46C49F15"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As stated previously, the single exit building allowed per this proposal is limited to 5 stories of R-2 apartment houses and 6 stories maximum in height.  No other R-2 occupancy types are permitted to use this single exit provision.  Rooftop decks are not permitted above the sixth story unless they are less than 750 square feet and are accessed only by individual dwelling units. The building is not permitted to be a high-rise.  It is permitted to be of combustible construction that has a minimum one-hour fire resistive or Type IV-HT construction. The construction types prohibited for use are IIB, IIIB and VB. An NFPA 13 sprinkler system in accordance with Section 903.3.1.1 and an automatic fire alarm system in accordance with Section 907.5 are also required.</w:t>
      </w:r>
      <w:r w:rsidR="000F238F">
        <w:rPr>
          <w:rFonts w:ascii="Times New Roman" w:hAnsi="Times New Roman"/>
          <w:sz w:val="22"/>
          <w:szCs w:val="22"/>
        </w:rPr>
        <w:t xml:space="preserve"> There shall be no more than two single exit buildings </w:t>
      </w:r>
      <w:r w:rsidR="00291343">
        <w:rPr>
          <w:rFonts w:ascii="Times New Roman" w:hAnsi="Times New Roman"/>
          <w:sz w:val="22"/>
          <w:szCs w:val="22"/>
        </w:rPr>
        <w:t xml:space="preserve">on the same lot </w:t>
      </w:r>
      <w:r w:rsidR="000F238F">
        <w:rPr>
          <w:rFonts w:ascii="Times New Roman" w:hAnsi="Times New Roman"/>
          <w:sz w:val="22"/>
          <w:szCs w:val="22"/>
        </w:rPr>
        <w:t>using the</w:t>
      </w:r>
      <w:r w:rsidR="00291343">
        <w:rPr>
          <w:rFonts w:ascii="Times New Roman" w:hAnsi="Times New Roman"/>
          <w:sz w:val="22"/>
          <w:szCs w:val="22"/>
        </w:rPr>
        <w:t xml:space="preserve"> provisions of this appendix.  </w:t>
      </w:r>
    </w:p>
    <w:p w14:paraId="1D445156" w14:textId="77777777" w:rsidR="005D1D09" w:rsidRPr="001906D6" w:rsidRDefault="005D1D09" w:rsidP="00A07D5F">
      <w:pPr>
        <w:spacing w:line="276" w:lineRule="auto"/>
        <w:rPr>
          <w:rFonts w:ascii="Times New Roman" w:hAnsi="Times New Roman"/>
          <w:sz w:val="22"/>
          <w:szCs w:val="22"/>
        </w:rPr>
      </w:pPr>
    </w:p>
    <w:p w14:paraId="1CAC330A" w14:textId="279D336B"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The maximum travel distance permitted from any dwelling unit to the exit is 125 feet, and corridors that connect all units to an interior exit stairway are required to be rated. Both of these requirements are consistent with</w:t>
      </w:r>
      <w:r w:rsidR="00047F2B">
        <w:rPr>
          <w:rFonts w:ascii="Times New Roman" w:hAnsi="Times New Roman"/>
          <w:sz w:val="22"/>
          <w:szCs w:val="22"/>
        </w:rPr>
        <w:t xml:space="preserve"> model</w:t>
      </w:r>
      <w:r w:rsidRPr="001906D6">
        <w:rPr>
          <w:rFonts w:ascii="Times New Roman" w:hAnsi="Times New Roman"/>
          <w:sz w:val="22"/>
          <w:szCs w:val="22"/>
        </w:rPr>
        <w:t xml:space="preserve"> code provisions. This proposal prohibits dwelling units from opening directly into the interior exit stairway, and instead requires them to communicate via the rated corridor (dwelling units are permitted to open directly into an </w:t>
      </w:r>
      <w:r w:rsidRPr="001906D6">
        <w:rPr>
          <w:rFonts w:ascii="Times New Roman" w:hAnsi="Times New Roman"/>
          <w:sz w:val="22"/>
          <w:szCs w:val="22"/>
        </w:rPr>
        <w:lastRenderedPageBreak/>
        <w:t xml:space="preserve">exterior exit stairway). There is also a 20-foot travel distance limitation measured from each dwelling unit entry door to the exit stairway. </w:t>
      </w:r>
    </w:p>
    <w:p w14:paraId="152EC820" w14:textId="77777777" w:rsidR="005D1D09" w:rsidRPr="001906D6" w:rsidRDefault="005D1D09" w:rsidP="00A07D5F">
      <w:pPr>
        <w:spacing w:line="276" w:lineRule="auto"/>
        <w:rPr>
          <w:rFonts w:ascii="Times New Roman" w:hAnsi="Times New Roman"/>
          <w:sz w:val="22"/>
          <w:szCs w:val="22"/>
        </w:rPr>
      </w:pPr>
    </w:p>
    <w:p w14:paraId="3EC01DA9" w14:textId="2BAE1B45" w:rsidR="005D1D09" w:rsidRPr="001906D6" w:rsidRDefault="005D1D09" w:rsidP="00A07D5F">
      <w:pPr>
        <w:spacing w:line="276" w:lineRule="auto"/>
        <w:ind w:left="360"/>
        <w:rPr>
          <w:rFonts w:ascii="Times New Roman" w:hAnsi="Times New Roman"/>
          <w:sz w:val="22"/>
          <w:szCs w:val="22"/>
        </w:rPr>
      </w:pPr>
      <w:r w:rsidRPr="001906D6">
        <w:rPr>
          <w:rFonts w:ascii="Times New Roman" w:hAnsi="Times New Roman"/>
          <w:sz w:val="22"/>
          <w:szCs w:val="22"/>
        </w:rPr>
        <w:t xml:space="preserve">Other occupancies are prohibited from connecting to or opening directly into the stairway serving the residential occupancy spaces.  </w:t>
      </w:r>
      <w:r w:rsidR="005B606F">
        <w:rPr>
          <w:rFonts w:ascii="Times New Roman" w:hAnsi="Times New Roman"/>
          <w:sz w:val="22"/>
          <w:szCs w:val="22"/>
        </w:rPr>
        <w:t xml:space="preserve">This is to limit communication via the stairway between those occupancies and the residential occupancy. </w:t>
      </w:r>
      <w:r w:rsidRPr="001906D6">
        <w:rPr>
          <w:rFonts w:ascii="Times New Roman" w:hAnsi="Times New Roman"/>
          <w:sz w:val="22"/>
          <w:szCs w:val="22"/>
        </w:rPr>
        <w:t>Where an elevator is provided for the building, the hoistway is prohibited from providing atmospheric communication between the interior exit stair and other occupancies. A</w:t>
      </w:r>
      <w:r w:rsidRPr="001906D6">
        <w:rPr>
          <w:rStyle w:val="cf01"/>
          <w:rFonts w:ascii="Times New Roman" w:hAnsi="Times New Roman" w:cs="Times New Roman"/>
          <w:sz w:val="22"/>
          <w:szCs w:val="22"/>
        </w:rPr>
        <w:t xml:space="preserve"> protected elevator lobby or other means of hoistway protection at the level with the non-residential occupancy</w:t>
      </w:r>
      <w:r w:rsidR="005363DD">
        <w:rPr>
          <w:rStyle w:val="cf01"/>
          <w:rFonts w:ascii="Times New Roman" w:hAnsi="Times New Roman" w:cs="Times New Roman"/>
          <w:sz w:val="22"/>
          <w:szCs w:val="22"/>
        </w:rPr>
        <w:t xml:space="preserve"> or occupancies</w:t>
      </w:r>
      <w:r w:rsidRPr="001906D6">
        <w:rPr>
          <w:rStyle w:val="cf01"/>
          <w:rFonts w:ascii="Times New Roman" w:hAnsi="Times New Roman" w:cs="Times New Roman"/>
          <w:sz w:val="22"/>
          <w:szCs w:val="22"/>
        </w:rPr>
        <w:t xml:space="preserve"> can be used to prevent direct communication and comply with this provision. </w:t>
      </w:r>
      <w:r w:rsidRPr="001906D6">
        <w:rPr>
          <w:rFonts w:ascii="Times New Roman" w:hAnsi="Times New Roman"/>
          <w:sz w:val="22"/>
          <w:szCs w:val="22"/>
        </w:rPr>
        <w:t>It should be noted that the exception to Section 3006.2 that eliminates the requirement for elevator lobbies at the level of exit discharge does not apply in this situation.</w:t>
      </w:r>
    </w:p>
    <w:p w14:paraId="6B3EB269" w14:textId="77777777" w:rsidR="005D1D09" w:rsidRPr="001906D6" w:rsidRDefault="005D1D09" w:rsidP="00A07D5F">
      <w:pPr>
        <w:spacing w:line="276" w:lineRule="auto"/>
        <w:ind w:left="360"/>
        <w:rPr>
          <w:rFonts w:ascii="Times New Roman" w:hAnsi="Times New Roman"/>
          <w:sz w:val="22"/>
          <w:szCs w:val="22"/>
        </w:rPr>
      </w:pPr>
    </w:p>
    <w:p w14:paraId="5F4F5410" w14:textId="1091FE9A" w:rsidR="005D1D09" w:rsidRPr="001906D6" w:rsidRDefault="006E64F8" w:rsidP="00A07D5F">
      <w:pPr>
        <w:spacing w:line="276" w:lineRule="auto"/>
        <w:ind w:left="360"/>
        <w:rPr>
          <w:rFonts w:ascii="Times New Roman" w:hAnsi="Times New Roman"/>
          <w:sz w:val="22"/>
          <w:szCs w:val="22"/>
        </w:rPr>
      </w:pPr>
      <w:r w:rsidRPr="00955AD1">
        <w:rPr>
          <w:rFonts w:ascii="Times New Roman" w:hAnsi="Times New Roman"/>
          <w:sz w:val="22"/>
          <w:szCs w:val="22"/>
        </w:rPr>
        <w:t>Model</w:t>
      </w:r>
      <w:r>
        <w:rPr>
          <w:rFonts w:ascii="Times New Roman" w:hAnsi="Times New Roman"/>
          <w:sz w:val="22"/>
          <w:szCs w:val="22"/>
        </w:rPr>
        <w:t xml:space="preserve"> </w:t>
      </w:r>
      <w:r w:rsidR="005D1D09" w:rsidRPr="001906D6">
        <w:rPr>
          <w:rFonts w:ascii="Times New Roman" w:hAnsi="Times New Roman"/>
          <w:sz w:val="22"/>
          <w:szCs w:val="22"/>
        </w:rPr>
        <w:t xml:space="preserve">code provisions for exit components are retained in this proposal. This includes shafts, exit enclosures and elevator shafts that are required to be two-hour rated when connecting four stories or more, and accessible means of egress elevators to serve accessible floors that are four or more stories above the level of exit discharge. Interior exit stairways are required to discharge directly to the outside and are not permitted to discharge through any other occupancy. </w:t>
      </w:r>
    </w:p>
    <w:p w14:paraId="0158D5A3" w14:textId="77777777" w:rsidR="005D1D09" w:rsidRPr="001906D6" w:rsidRDefault="005D1D09" w:rsidP="00A07D5F">
      <w:pPr>
        <w:spacing w:line="276" w:lineRule="auto"/>
        <w:ind w:left="360"/>
        <w:rPr>
          <w:rFonts w:ascii="Times New Roman" w:hAnsi="Times New Roman"/>
          <w:sz w:val="22"/>
          <w:szCs w:val="22"/>
        </w:rPr>
      </w:pPr>
    </w:p>
    <w:p w14:paraId="3DBFB2BA" w14:textId="3A920129" w:rsidR="0023649B" w:rsidRPr="009119E6" w:rsidRDefault="0023649B" w:rsidP="0023649B">
      <w:pPr>
        <w:spacing w:line="276" w:lineRule="auto"/>
        <w:ind w:left="360"/>
        <w:rPr>
          <w:rFonts w:ascii="Times New Roman" w:hAnsi="Times New Roman"/>
          <w:sz w:val="22"/>
          <w:szCs w:val="22"/>
        </w:rPr>
      </w:pPr>
      <w:r w:rsidRPr="009119E6">
        <w:rPr>
          <w:rFonts w:ascii="Times New Roman" w:hAnsi="Times New Roman"/>
          <w:sz w:val="22"/>
          <w:szCs w:val="22"/>
        </w:rPr>
        <w:t xml:space="preserve">There are requirements in this proposal that serve to mitigate the loss of the second exit and are therefore above and beyond the model code. This includes the following: </w:t>
      </w:r>
    </w:p>
    <w:p w14:paraId="22F23D21" w14:textId="77777777" w:rsidR="0023649B" w:rsidRPr="009119E6" w:rsidRDefault="0023649B" w:rsidP="0023649B">
      <w:pPr>
        <w:spacing w:line="276" w:lineRule="auto"/>
        <w:ind w:left="360"/>
        <w:rPr>
          <w:rFonts w:ascii="Times New Roman" w:hAnsi="Times New Roman"/>
          <w:sz w:val="22"/>
          <w:szCs w:val="22"/>
        </w:rPr>
      </w:pPr>
    </w:p>
    <w:p w14:paraId="7E386A00" w14:textId="77777777"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When connecting a dwelling unit to an interior exit stairway, the minimum corridor rating requirement is ½ hour.  The model code permits the corridor rating to be reduced to 0 hours when the corridor serves a low occupant load.  This reduction is not permitted. </w:t>
      </w:r>
    </w:p>
    <w:p w14:paraId="351AB444" w14:textId="794A4E42" w:rsidR="00AA082F"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Pressurization of interior exit stairways is required. For non-high-rise buildings constructed under the model code, this is an enhancement. However, stair pressurization is already required to allow a fifth story in Type VA buildings with an R-2 occupancy per </w:t>
      </w:r>
      <w:r w:rsidR="00AD335D" w:rsidRPr="009119E6">
        <w:rPr>
          <w:rFonts w:ascii="Times New Roman" w:hAnsi="Times New Roman"/>
          <w:sz w:val="22"/>
          <w:szCs w:val="22"/>
        </w:rPr>
        <w:t xml:space="preserve">the </w:t>
      </w:r>
      <w:r w:rsidRPr="009119E6">
        <w:rPr>
          <w:rFonts w:ascii="Times New Roman" w:hAnsi="Times New Roman"/>
          <w:sz w:val="22"/>
          <w:szCs w:val="22"/>
        </w:rPr>
        <w:t xml:space="preserve">Washington State </w:t>
      </w:r>
      <w:r w:rsidR="00AD335D" w:rsidRPr="009119E6">
        <w:rPr>
          <w:rFonts w:ascii="Times New Roman" w:hAnsi="Times New Roman"/>
          <w:sz w:val="22"/>
          <w:szCs w:val="22"/>
        </w:rPr>
        <w:t>a</w:t>
      </w:r>
      <w:r w:rsidRPr="009119E6">
        <w:rPr>
          <w:rFonts w:ascii="Times New Roman" w:hAnsi="Times New Roman"/>
          <w:sz w:val="22"/>
          <w:szCs w:val="22"/>
        </w:rPr>
        <w:t>mendment to IBC Section 504.4.1</w:t>
      </w:r>
      <w:r w:rsidR="00EF5325" w:rsidRPr="009119E6">
        <w:rPr>
          <w:rFonts w:ascii="Times New Roman" w:hAnsi="Times New Roman"/>
          <w:sz w:val="22"/>
          <w:szCs w:val="22"/>
        </w:rPr>
        <w:t>,</w:t>
      </w:r>
      <w:r w:rsidRPr="009119E6">
        <w:rPr>
          <w:rFonts w:ascii="Times New Roman" w:hAnsi="Times New Roman"/>
          <w:sz w:val="22"/>
          <w:szCs w:val="22"/>
        </w:rPr>
        <w:t xml:space="preserve"> so for those buildings it would not be an enhancement.  </w:t>
      </w:r>
      <w:r w:rsidR="00B0370C">
        <w:rPr>
          <w:rFonts w:ascii="Times New Roman" w:hAnsi="Times New Roman"/>
          <w:sz w:val="22"/>
          <w:szCs w:val="22"/>
        </w:rPr>
        <w:t>T</w:t>
      </w:r>
      <w:r w:rsidR="002208E3">
        <w:rPr>
          <w:rFonts w:ascii="Times New Roman" w:hAnsi="Times New Roman"/>
          <w:sz w:val="22"/>
          <w:szCs w:val="22"/>
        </w:rPr>
        <w:t xml:space="preserve">he NEC references </w:t>
      </w:r>
      <w:r w:rsidR="00B0370C">
        <w:rPr>
          <w:rFonts w:ascii="Times New Roman" w:hAnsi="Times New Roman"/>
          <w:sz w:val="22"/>
          <w:szCs w:val="22"/>
        </w:rPr>
        <w:t xml:space="preserve">per IBC Section </w:t>
      </w:r>
      <w:r w:rsidR="002208E3">
        <w:rPr>
          <w:rFonts w:ascii="Times New Roman" w:hAnsi="Times New Roman"/>
          <w:sz w:val="22"/>
          <w:szCs w:val="22"/>
        </w:rPr>
        <w:t>504.4.1</w:t>
      </w:r>
      <w:r w:rsidR="00B0370C">
        <w:rPr>
          <w:rFonts w:ascii="Times New Roman" w:hAnsi="Times New Roman"/>
          <w:sz w:val="22"/>
          <w:szCs w:val="22"/>
        </w:rPr>
        <w:t xml:space="preserve"> included in this proposal </w:t>
      </w:r>
      <w:r w:rsidR="002208E3">
        <w:rPr>
          <w:rFonts w:ascii="Times New Roman" w:hAnsi="Times New Roman"/>
          <w:sz w:val="22"/>
          <w:szCs w:val="22"/>
        </w:rPr>
        <w:t>have been updated from 2020 NEC to 2023 NEC.</w:t>
      </w:r>
    </w:p>
    <w:p w14:paraId="5547796F" w14:textId="075421BC" w:rsidR="0023649B" w:rsidRPr="009119E6" w:rsidRDefault="00DC1BBB" w:rsidP="00AA082F">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L</w:t>
      </w:r>
      <w:r w:rsidR="00AA082F" w:rsidRPr="009119E6">
        <w:rPr>
          <w:rFonts w:ascii="Times New Roman" w:hAnsi="Times New Roman"/>
          <w:sz w:val="22"/>
          <w:szCs w:val="22"/>
        </w:rPr>
        <w:t>egally required standby power is required</w:t>
      </w:r>
      <w:r w:rsidR="006F69B0" w:rsidRPr="009119E6">
        <w:rPr>
          <w:rFonts w:ascii="Times New Roman" w:hAnsi="Times New Roman"/>
          <w:sz w:val="22"/>
          <w:szCs w:val="22"/>
        </w:rPr>
        <w:t xml:space="preserve"> for stair pressurization and where provided, hoistway pressurization</w:t>
      </w:r>
      <w:r w:rsidR="00AA082F" w:rsidRPr="009119E6">
        <w:rPr>
          <w:rFonts w:ascii="Times New Roman" w:hAnsi="Times New Roman"/>
          <w:sz w:val="22"/>
          <w:szCs w:val="22"/>
        </w:rPr>
        <w:t>.  A</w:t>
      </w:r>
      <w:r w:rsidR="00192CEF" w:rsidRPr="009119E6">
        <w:rPr>
          <w:rFonts w:ascii="Times New Roman" w:hAnsi="Times New Roman"/>
          <w:sz w:val="22"/>
          <w:szCs w:val="22"/>
        </w:rPr>
        <w:t xml:space="preserve">n </w:t>
      </w:r>
      <w:r w:rsidR="00AA082F" w:rsidRPr="009119E6">
        <w:rPr>
          <w:rFonts w:ascii="Times New Roman" w:hAnsi="Times New Roman"/>
          <w:sz w:val="22"/>
          <w:szCs w:val="22"/>
        </w:rPr>
        <w:t xml:space="preserve">enhancement is to </w:t>
      </w:r>
      <w:r w:rsidR="00192CEF" w:rsidRPr="009119E6">
        <w:rPr>
          <w:rFonts w:ascii="Times New Roman" w:hAnsi="Times New Roman"/>
          <w:sz w:val="22"/>
          <w:szCs w:val="22"/>
        </w:rPr>
        <w:t xml:space="preserve">prohibit </w:t>
      </w:r>
      <w:r w:rsidR="0023649B" w:rsidRPr="009119E6">
        <w:rPr>
          <w:rFonts w:ascii="Times New Roman" w:hAnsi="Times New Roman"/>
          <w:sz w:val="22"/>
          <w:szCs w:val="22"/>
        </w:rPr>
        <w:t xml:space="preserve">“tap ahead of the main” </w:t>
      </w:r>
      <w:r w:rsidR="00192CEF" w:rsidRPr="009119E6">
        <w:rPr>
          <w:rFonts w:ascii="Times New Roman" w:hAnsi="Times New Roman"/>
          <w:sz w:val="22"/>
          <w:szCs w:val="22"/>
        </w:rPr>
        <w:t xml:space="preserve">which is </w:t>
      </w:r>
      <w:r w:rsidR="0023649B" w:rsidRPr="009119E6">
        <w:rPr>
          <w:rFonts w:ascii="Times New Roman" w:hAnsi="Times New Roman"/>
          <w:sz w:val="22"/>
          <w:szCs w:val="22"/>
        </w:rPr>
        <w:t xml:space="preserve">consistent with </w:t>
      </w:r>
      <w:r w:rsidR="00192CEF" w:rsidRPr="009119E6">
        <w:rPr>
          <w:rFonts w:ascii="Times New Roman" w:hAnsi="Times New Roman"/>
          <w:sz w:val="22"/>
          <w:szCs w:val="22"/>
        </w:rPr>
        <w:t xml:space="preserve">the </w:t>
      </w:r>
      <w:r w:rsidRPr="009119E6">
        <w:rPr>
          <w:rFonts w:ascii="Times New Roman" w:hAnsi="Times New Roman"/>
          <w:sz w:val="22"/>
          <w:szCs w:val="22"/>
        </w:rPr>
        <w:t xml:space="preserve">NEC </w:t>
      </w:r>
      <w:r w:rsidR="00192CEF" w:rsidRPr="009119E6">
        <w:rPr>
          <w:rFonts w:ascii="Times New Roman" w:hAnsi="Times New Roman"/>
          <w:sz w:val="22"/>
          <w:szCs w:val="22"/>
        </w:rPr>
        <w:t xml:space="preserve">provisions </w:t>
      </w:r>
      <w:r w:rsidRPr="009119E6">
        <w:rPr>
          <w:rFonts w:ascii="Times New Roman" w:hAnsi="Times New Roman"/>
          <w:sz w:val="22"/>
          <w:szCs w:val="22"/>
        </w:rPr>
        <w:t xml:space="preserve">in </w:t>
      </w:r>
      <w:r w:rsidR="00A10BF1" w:rsidRPr="009119E6">
        <w:rPr>
          <w:rFonts w:ascii="Times New Roman" w:hAnsi="Times New Roman"/>
          <w:sz w:val="22"/>
          <w:szCs w:val="22"/>
        </w:rPr>
        <w:t xml:space="preserve">the existing </w:t>
      </w:r>
      <w:r w:rsidR="0023649B" w:rsidRPr="009119E6">
        <w:rPr>
          <w:rFonts w:ascii="Times New Roman" w:hAnsi="Times New Roman"/>
          <w:sz w:val="22"/>
          <w:szCs w:val="22"/>
        </w:rPr>
        <w:t>W</w:t>
      </w:r>
      <w:r w:rsidR="00EF5325" w:rsidRPr="009119E6">
        <w:rPr>
          <w:rFonts w:ascii="Times New Roman" w:hAnsi="Times New Roman"/>
          <w:sz w:val="22"/>
          <w:szCs w:val="22"/>
        </w:rPr>
        <w:t xml:space="preserve">ashington State </w:t>
      </w:r>
      <w:r w:rsidR="00AF77B1" w:rsidRPr="009119E6">
        <w:rPr>
          <w:rFonts w:ascii="Times New Roman" w:hAnsi="Times New Roman"/>
          <w:sz w:val="22"/>
          <w:szCs w:val="22"/>
        </w:rPr>
        <w:t>a</w:t>
      </w:r>
      <w:r w:rsidR="00EF5325" w:rsidRPr="009119E6">
        <w:rPr>
          <w:rFonts w:ascii="Times New Roman" w:hAnsi="Times New Roman"/>
          <w:sz w:val="22"/>
          <w:szCs w:val="22"/>
        </w:rPr>
        <w:t>mendment to</w:t>
      </w:r>
      <w:r w:rsidR="0023649B" w:rsidRPr="009119E6">
        <w:rPr>
          <w:rFonts w:ascii="Times New Roman" w:hAnsi="Times New Roman"/>
          <w:sz w:val="22"/>
          <w:szCs w:val="22"/>
        </w:rPr>
        <w:t xml:space="preserve"> IBC Section 504.4.1. </w:t>
      </w:r>
      <w:r w:rsidR="00B0370C">
        <w:rPr>
          <w:rFonts w:ascii="Times New Roman" w:hAnsi="Times New Roman"/>
          <w:sz w:val="22"/>
          <w:szCs w:val="22"/>
        </w:rPr>
        <w:t xml:space="preserve"> The NEC references per IBC Section 504.4.1 included in this proposal have been updated from 2020 NEC to 2023 NEC.</w:t>
      </w:r>
    </w:p>
    <w:p w14:paraId="320A85D8" w14:textId="77777777"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 xml:space="preserve">The building must be equipped with an NFPA 13 sprinkler system.  For R-2 apartment buildings up to 4 stories and 60 feet, a full 13 system is a more stringent requirement than the model code which permits an NFPA 13R system. </w:t>
      </w:r>
    </w:p>
    <w:p w14:paraId="58BD863C" w14:textId="7563A214" w:rsidR="0023649B" w:rsidRPr="009119E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9119E6">
        <w:rPr>
          <w:rFonts w:ascii="Times New Roman" w:hAnsi="Times New Roman"/>
          <w:sz w:val="22"/>
          <w:szCs w:val="22"/>
        </w:rPr>
        <w:t>The building must be equipped with an automatic fire alarm system that activ</w:t>
      </w:r>
      <w:r w:rsidR="00AF77B1" w:rsidRPr="009119E6">
        <w:rPr>
          <w:rFonts w:ascii="Times New Roman" w:hAnsi="Times New Roman"/>
          <w:sz w:val="22"/>
          <w:szCs w:val="22"/>
        </w:rPr>
        <w:t>at</w:t>
      </w:r>
      <w:r w:rsidRPr="009119E6">
        <w:rPr>
          <w:rFonts w:ascii="Times New Roman" w:hAnsi="Times New Roman"/>
          <w:sz w:val="22"/>
          <w:szCs w:val="22"/>
        </w:rPr>
        <w:t xml:space="preserve">es an occupant notification system. This enhancement provides detection in common areas which the model code requires in R-2 dormitories but not in an R-2 apartment building. This enhancement provides redundancy to triggering notification if there is an issue </w:t>
      </w:r>
      <w:r w:rsidR="005B4A14">
        <w:rPr>
          <w:rFonts w:ascii="Times New Roman" w:hAnsi="Times New Roman"/>
          <w:sz w:val="22"/>
          <w:szCs w:val="22"/>
        </w:rPr>
        <w:t xml:space="preserve">with the </w:t>
      </w:r>
      <w:r w:rsidR="00FE2DB7" w:rsidRPr="009119E6">
        <w:rPr>
          <w:rFonts w:ascii="Times New Roman" w:hAnsi="Times New Roman"/>
          <w:sz w:val="22"/>
          <w:szCs w:val="22"/>
        </w:rPr>
        <w:t xml:space="preserve">model-code required </w:t>
      </w:r>
      <w:r w:rsidRPr="009119E6">
        <w:rPr>
          <w:rFonts w:ascii="Times New Roman" w:hAnsi="Times New Roman"/>
          <w:sz w:val="22"/>
          <w:szCs w:val="22"/>
        </w:rPr>
        <w:t>water flow</w:t>
      </w:r>
      <w:r w:rsidR="00FE2DB7" w:rsidRPr="009119E6">
        <w:rPr>
          <w:rFonts w:ascii="Times New Roman" w:hAnsi="Times New Roman"/>
          <w:sz w:val="22"/>
          <w:szCs w:val="22"/>
        </w:rPr>
        <w:t xml:space="preserve"> notification</w:t>
      </w:r>
      <w:r w:rsidRPr="009119E6">
        <w:rPr>
          <w:rFonts w:ascii="Times New Roman" w:hAnsi="Times New Roman"/>
          <w:sz w:val="22"/>
          <w:szCs w:val="22"/>
        </w:rPr>
        <w:t xml:space="preserve">.  Heat or </w:t>
      </w:r>
      <w:r w:rsidR="00FE2DB7" w:rsidRPr="009119E6">
        <w:rPr>
          <w:rFonts w:ascii="Times New Roman" w:hAnsi="Times New Roman"/>
          <w:sz w:val="22"/>
          <w:szCs w:val="22"/>
        </w:rPr>
        <w:t>s</w:t>
      </w:r>
      <w:r w:rsidRPr="009119E6">
        <w:rPr>
          <w:rFonts w:ascii="Times New Roman" w:hAnsi="Times New Roman"/>
          <w:sz w:val="22"/>
          <w:szCs w:val="22"/>
        </w:rPr>
        <w:t xml:space="preserve">moke will trigger the fire alarm.  </w:t>
      </w:r>
    </w:p>
    <w:p w14:paraId="79D392AC" w14:textId="4381FAB5" w:rsidR="0023649B" w:rsidRPr="005A2366" w:rsidRDefault="0023649B" w:rsidP="0023649B">
      <w:pPr>
        <w:pStyle w:val="ListParagraph"/>
        <w:numPr>
          <w:ilvl w:val="3"/>
          <w:numId w:val="15"/>
        </w:numPr>
        <w:tabs>
          <w:tab w:val="clear" w:pos="2880"/>
          <w:tab w:val="num" w:pos="360"/>
        </w:tabs>
        <w:spacing w:after="160" w:line="276" w:lineRule="auto"/>
        <w:ind w:left="720"/>
        <w:rPr>
          <w:rStyle w:val="eop"/>
          <w:rFonts w:ascii="Times New Roman" w:hAnsi="Times New Roman"/>
          <w:sz w:val="22"/>
          <w:szCs w:val="22"/>
        </w:rPr>
      </w:pPr>
      <w:bookmarkStart w:id="2" w:name="_Hlk169602632"/>
      <w:r w:rsidRPr="005A2366">
        <w:rPr>
          <w:rStyle w:val="normaltextrun"/>
          <w:rFonts w:ascii="Times New Roman" w:hAnsi="Times New Roman"/>
          <w:sz w:val="22"/>
          <w:szCs w:val="22"/>
        </w:rPr>
        <w:t>Openings </w:t>
      </w:r>
      <w:r w:rsidRPr="005A2366">
        <w:rPr>
          <w:rStyle w:val="normaltextrun"/>
          <w:rFonts w:ascii="Times New Roman" w:hAnsi="Times New Roman"/>
          <w:sz w:val="22"/>
          <w:szCs w:val="22"/>
          <w:shd w:val="clear" w:color="auto" w:fill="FFFFFF"/>
        </w:rPr>
        <w:t xml:space="preserve">within 10 feet in any direction of </w:t>
      </w:r>
      <w:r w:rsidR="00955AD1" w:rsidRPr="005A2366">
        <w:rPr>
          <w:rStyle w:val="normaltextrun"/>
          <w:rFonts w:ascii="Times New Roman" w:hAnsi="Times New Roman"/>
          <w:sz w:val="22"/>
          <w:szCs w:val="22"/>
          <w:shd w:val="clear" w:color="auto" w:fill="FFFFFF"/>
        </w:rPr>
        <w:t xml:space="preserve">the exterior stair or </w:t>
      </w:r>
      <w:r w:rsidRPr="005A2366">
        <w:rPr>
          <w:rStyle w:val="normaltextrun"/>
          <w:rFonts w:ascii="Times New Roman" w:hAnsi="Times New Roman"/>
          <w:sz w:val="22"/>
          <w:szCs w:val="22"/>
          <w:shd w:val="clear" w:color="auto" w:fill="FFFFFF"/>
        </w:rPr>
        <w:t>nonrated exterior walls of the</w:t>
      </w:r>
      <w:r w:rsidR="00955AD1" w:rsidRPr="005A2366">
        <w:rPr>
          <w:rStyle w:val="normaltextrun"/>
          <w:rFonts w:ascii="Times New Roman" w:hAnsi="Times New Roman"/>
          <w:sz w:val="22"/>
          <w:szCs w:val="22"/>
          <w:shd w:val="clear" w:color="auto" w:fill="FFFFFF"/>
        </w:rPr>
        <w:t xml:space="preserve"> interior exit </w:t>
      </w:r>
      <w:r w:rsidR="00EB7A17" w:rsidRPr="005A2366">
        <w:rPr>
          <w:rStyle w:val="normaltextrun"/>
          <w:rFonts w:ascii="Times New Roman" w:hAnsi="Times New Roman"/>
          <w:sz w:val="22"/>
          <w:szCs w:val="22"/>
          <w:shd w:val="clear" w:color="auto" w:fill="FFFFFF"/>
        </w:rPr>
        <w:t>stair must</w:t>
      </w:r>
      <w:r w:rsidRPr="005A2366">
        <w:rPr>
          <w:rStyle w:val="normaltextrun"/>
          <w:rFonts w:ascii="Times New Roman" w:hAnsi="Times New Roman"/>
          <w:sz w:val="22"/>
          <w:szCs w:val="22"/>
          <w:shd w:val="clear" w:color="auto" w:fill="FFFFFF"/>
        </w:rPr>
        <w:t xml:space="preserve"> be protected with ¾ hour opening protectives.  This is an enhancement to </w:t>
      </w:r>
      <w:r w:rsidR="001A781E" w:rsidRPr="005A2366">
        <w:rPr>
          <w:rStyle w:val="normaltextrun"/>
          <w:rFonts w:ascii="Times New Roman" w:hAnsi="Times New Roman"/>
          <w:sz w:val="22"/>
          <w:szCs w:val="22"/>
          <w:shd w:val="clear" w:color="auto" w:fill="FFFFFF"/>
        </w:rPr>
        <w:t>the model</w:t>
      </w:r>
      <w:r w:rsidRPr="005A2366">
        <w:rPr>
          <w:rStyle w:val="normaltextrun"/>
          <w:rFonts w:ascii="Times New Roman" w:hAnsi="Times New Roman"/>
          <w:sz w:val="22"/>
          <w:szCs w:val="22"/>
          <w:shd w:val="clear" w:color="auto" w:fill="FFFFFF"/>
        </w:rPr>
        <w:t xml:space="preserve"> code which only requires opening protectives in walls that are less than 180 degrees to the stair. </w:t>
      </w:r>
      <w:r w:rsidRPr="005A2366">
        <w:rPr>
          <w:rStyle w:val="eop"/>
          <w:rFonts w:ascii="Times New Roman" w:hAnsi="Times New Roman"/>
          <w:sz w:val="22"/>
          <w:szCs w:val="22"/>
          <w:shd w:val="clear" w:color="auto" w:fill="FFFFFF"/>
        </w:rPr>
        <w:t> </w:t>
      </w:r>
    </w:p>
    <w:bookmarkEnd w:id="2"/>
    <w:p w14:paraId="2AAA261C" w14:textId="452C0B8E" w:rsidR="00416186" w:rsidRPr="005A2366" w:rsidRDefault="0023649B" w:rsidP="0023649B">
      <w:pPr>
        <w:pStyle w:val="ListParagraph"/>
        <w:numPr>
          <w:ilvl w:val="3"/>
          <w:numId w:val="15"/>
        </w:numPr>
        <w:tabs>
          <w:tab w:val="clear" w:pos="2880"/>
          <w:tab w:val="num" w:pos="360"/>
        </w:tabs>
        <w:spacing w:after="160" w:line="276" w:lineRule="auto"/>
        <w:ind w:left="720"/>
        <w:rPr>
          <w:rFonts w:ascii="Times New Roman" w:hAnsi="Times New Roman"/>
          <w:sz w:val="22"/>
          <w:szCs w:val="22"/>
        </w:rPr>
      </w:pPr>
      <w:r w:rsidRPr="005A2366">
        <w:rPr>
          <w:rFonts w:ascii="Times New Roman" w:hAnsi="Times New Roman"/>
          <w:sz w:val="22"/>
          <w:szCs w:val="22"/>
        </w:rPr>
        <w:t>The exit</w:t>
      </w:r>
      <w:r w:rsidR="005B4A14" w:rsidRPr="005A2366">
        <w:rPr>
          <w:rFonts w:ascii="Times New Roman" w:hAnsi="Times New Roman"/>
          <w:sz w:val="22"/>
          <w:szCs w:val="22"/>
        </w:rPr>
        <w:t xml:space="preserve"> i</w:t>
      </w:r>
      <w:r w:rsidRPr="005A2366">
        <w:rPr>
          <w:rFonts w:ascii="Times New Roman" w:hAnsi="Times New Roman"/>
          <w:sz w:val="22"/>
          <w:szCs w:val="22"/>
        </w:rPr>
        <w:t xml:space="preserve">s prohibited from discharging into an egress court where the court depth exceeds the court width unless it is possible to travel to the public way in more than one direction.  This is an enhancement to </w:t>
      </w:r>
      <w:r w:rsidR="001A781E" w:rsidRPr="005A2366">
        <w:rPr>
          <w:rFonts w:ascii="Times New Roman" w:hAnsi="Times New Roman"/>
          <w:sz w:val="22"/>
          <w:szCs w:val="22"/>
        </w:rPr>
        <w:t>the model</w:t>
      </w:r>
      <w:r w:rsidRPr="005A2366">
        <w:rPr>
          <w:rFonts w:ascii="Times New Roman" w:hAnsi="Times New Roman"/>
          <w:sz w:val="22"/>
          <w:szCs w:val="22"/>
        </w:rPr>
        <w:t xml:space="preserve"> code and provides some level of redundancy to the exit discharge.</w:t>
      </w:r>
    </w:p>
    <w:p w14:paraId="2541BA10" w14:textId="156F5AAE" w:rsidR="00351DDB" w:rsidRDefault="0023649B" w:rsidP="009F5065">
      <w:pPr>
        <w:pStyle w:val="ListParagraph"/>
        <w:numPr>
          <w:ilvl w:val="3"/>
          <w:numId w:val="15"/>
        </w:numPr>
        <w:tabs>
          <w:tab w:val="clear" w:pos="2880"/>
          <w:tab w:val="num" w:pos="360"/>
        </w:tabs>
        <w:spacing w:after="160" w:line="276" w:lineRule="auto"/>
        <w:ind w:left="720"/>
        <w:rPr>
          <w:b/>
          <w:szCs w:val="24"/>
        </w:rPr>
      </w:pPr>
      <w:r w:rsidRPr="009F5065">
        <w:rPr>
          <w:rFonts w:ascii="Times New Roman" w:hAnsi="Times New Roman"/>
          <w:sz w:val="22"/>
          <w:szCs w:val="22"/>
        </w:rPr>
        <w:t xml:space="preserve">Emergency escape and rescue openings </w:t>
      </w:r>
      <w:r w:rsidR="00FE11F3" w:rsidRPr="009F5065">
        <w:rPr>
          <w:rFonts w:ascii="Times New Roman" w:hAnsi="Times New Roman"/>
          <w:sz w:val="22"/>
          <w:szCs w:val="22"/>
        </w:rPr>
        <w:t xml:space="preserve">(EERO) </w:t>
      </w:r>
      <w:r w:rsidRPr="009F5065">
        <w:rPr>
          <w:rFonts w:ascii="Times New Roman" w:hAnsi="Times New Roman"/>
          <w:sz w:val="22"/>
          <w:szCs w:val="22"/>
        </w:rPr>
        <w:t>are required in sleeping rooms of all dwelling units, all stories</w:t>
      </w:r>
      <w:r w:rsidR="00132C74" w:rsidRPr="009F5065">
        <w:rPr>
          <w:rFonts w:ascii="Times New Roman" w:hAnsi="Times New Roman"/>
          <w:sz w:val="22"/>
          <w:szCs w:val="22"/>
        </w:rPr>
        <w:t xml:space="preserve"> at</w:t>
      </w:r>
      <w:r w:rsidRPr="009F5065">
        <w:rPr>
          <w:rFonts w:ascii="Times New Roman" w:hAnsi="Times New Roman"/>
          <w:sz w:val="22"/>
          <w:szCs w:val="22"/>
        </w:rPr>
        <w:t xml:space="preserve"> all </w:t>
      </w:r>
      <w:r w:rsidR="00132C74" w:rsidRPr="009F5065">
        <w:rPr>
          <w:rFonts w:ascii="Times New Roman" w:hAnsi="Times New Roman"/>
          <w:sz w:val="22"/>
          <w:szCs w:val="22"/>
        </w:rPr>
        <w:t xml:space="preserve">building </w:t>
      </w:r>
      <w:r w:rsidRPr="009F5065">
        <w:rPr>
          <w:rFonts w:ascii="Times New Roman" w:hAnsi="Times New Roman"/>
          <w:sz w:val="22"/>
          <w:szCs w:val="22"/>
        </w:rPr>
        <w:t>elevations.  This is an enhancement over the model code which requires EEROs in sleeping rooms of single exit buildings in stories up to the third story.</w:t>
      </w:r>
    </w:p>
    <w:p w14:paraId="4021E235" w14:textId="7FACDA5A"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lastRenderedPageBreak/>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14:paraId="6EEFD49B" w14:textId="77777777" w:rsidR="00B75D4C"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bookmarkStart w:id="3" w:name="Check27"/>
      <w:r w:rsidRPr="0087578E">
        <w:rPr>
          <w:rFonts w:ascii="Times New Roman" w:hAnsi="Times New Roman"/>
          <w:sz w:val="24"/>
          <w:szCs w:val="24"/>
        </w:rPr>
        <w:instrText xml:space="preserve"> FORMCHECKBOX </w:instrText>
      </w:r>
      <w:r w:rsidRPr="0087578E">
        <w:rPr>
          <w:rFonts w:ascii="Times New Roman" w:hAnsi="Times New Roman"/>
          <w:sz w:val="24"/>
          <w:szCs w:val="24"/>
        </w:rPr>
      </w:r>
      <w:r w:rsidRPr="0087578E">
        <w:rPr>
          <w:rFonts w:ascii="Times New Roman" w:hAnsi="Times New Roman"/>
          <w:sz w:val="24"/>
          <w:szCs w:val="24"/>
        </w:rPr>
        <w:fldChar w:fldCharType="separate"/>
      </w:r>
      <w:r w:rsidRPr="0087578E">
        <w:rPr>
          <w:rFonts w:ascii="Times New Roman" w:hAnsi="Times New Roman"/>
          <w:sz w:val="24"/>
          <w:szCs w:val="24"/>
        </w:rPr>
        <w:fldChar w:fldCharType="end"/>
      </w:r>
      <w:bookmarkEnd w:id="3"/>
      <w:r w:rsidRPr="0087578E">
        <w:rPr>
          <w:rFonts w:ascii="Times New Roman" w:hAnsi="Times New Roman"/>
          <w:sz w:val="24"/>
          <w:szCs w:val="24"/>
        </w:rPr>
        <w:t xml:space="preserve"> The amendment is needed to address a critical life/safety need.</w:t>
      </w:r>
    </w:p>
    <w:p w14:paraId="01BC37D9" w14:textId="77777777" w:rsidR="00D52DA4" w:rsidRPr="0087578E" w:rsidRDefault="00D52DA4"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Pr="0087578E">
        <w:rPr>
          <w:rFonts w:ascii="Times New Roman" w:hAnsi="Times New Roman"/>
          <w:sz w:val="24"/>
          <w:szCs w:val="24"/>
        </w:rPr>
      </w:r>
      <w:r w:rsidRPr="0087578E">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w:t>
      </w:r>
      <w:r>
        <w:rPr>
          <w:rFonts w:ascii="Times New Roman" w:hAnsi="Times New Roman"/>
          <w:sz w:val="24"/>
          <w:szCs w:val="24"/>
        </w:rPr>
        <w:t>clarifies the intent or application of the code</w:t>
      </w:r>
      <w:r w:rsidRPr="0087578E">
        <w:rPr>
          <w:rFonts w:ascii="Times New Roman" w:hAnsi="Times New Roman"/>
          <w:sz w:val="24"/>
          <w:szCs w:val="24"/>
        </w:rPr>
        <w:t>.</w:t>
      </w:r>
    </w:p>
    <w:p w14:paraId="2CB724EC" w14:textId="39CD36A5" w:rsidR="00B75D4C" w:rsidRPr="0087578E" w:rsidRDefault="00570AC8" w:rsidP="00B75D4C">
      <w:pPr>
        <w:pStyle w:val="PlainText"/>
        <w:ind w:left="1080"/>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r w:rsidR="00B75D4C" w:rsidRPr="0087578E">
        <w:rPr>
          <w:rFonts w:ascii="Times New Roman" w:hAnsi="Times New Roman"/>
          <w:sz w:val="24"/>
          <w:szCs w:val="24"/>
        </w:rPr>
        <w:t xml:space="preserve"> The amendment is needed to address a specific state policy or statute.</w:t>
      </w:r>
    </w:p>
    <w:p w14:paraId="0910483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Pr="0087578E">
        <w:rPr>
          <w:rFonts w:ascii="Times New Roman" w:hAnsi="Times New Roman"/>
          <w:sz w:val="24"/>
          <w:szCs w:val="24"/>
        </w:rPr>
      </w:r>
      <w:r w:rsidRPr="0087578E">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for consistency with state or federal regulations.</w:t>
      </w:r>
    </w:p>
    <w:p w14:paraId="50AED4E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Pr="0087578E">
        <w:rPr>
          <w:rFonts w:ascii="Times New Roman" w:hAnsi="Times New Roman"/>
          <w:sz w:val="24"/>
          <w:szCs w:val="24"/>
        </w:rPr>
      </w:r>
      <w:r w:rsidRPr="0087578E">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unique character of the state.</w:t>
      </w:r>
    </w:p>
    <w:p w14:paraId="5E2A4582" w14:textId="77777777" w:rsidR="00B75D4C" w:rsidRDefault="00B75D4C" w:rsidP="00B75D4C">
      <w:pPr>
        <w:tabs>
          <w:tab w:val="left" w:pos="-720"/>
          <w:tab w:val="left" w:pos="0"/>
          <w:tab w:val="left" w:pos="720"/>
        </w:tabs>
        <w:ind w:left="1080"/>
        <w:rPr>
          <w:rFonts w:ascii="Times New Roman" w:hAnsi="Times New Roman"/>
          <w:szCs w:val="24"/>
        </w:rPr>
      </w:pPr>
      <w:r w:rsidRPr="0087578E">
        <w:rPr>
          <w:rFonts w:ascii="Times New Roman" w:hAnsi="Times New Roman"/>
          <w:szCs w:val="24"/>
        </w:rPr>
        <w:fldChar w:fldCharType="begin">
          <w:ffData>
            <w:name w:val="Check27"/>
            <w:enabled/>
            <w:calcOnExit w:val="0"/>
            <w:checkBox>
              <w:sizeAuto/>
              <w:default w:val="0"/>
            </w:checkBox>
          </w:ffData>
        </w:fldChar>
      </w:r>
      <w:r w:rsidRPr="0087578E">
        <w:rPr>
          <w:rFonts w:ascii="Times New Roman" w:hAnsi="Times New Roman"/>
          <w:szCs w:val="24"/>
        </w:rPr>
        <w:instrText xml:space="preserve"> FORMCHECKBOX </w:instrText>
      </w:r>
      <w:r w:rsidRPr="0087578E">
        <w:rPr>
          <w:rFonts w:ascii="Times New Roman" w:hAnsi="Times New Roman"/>
          <w:szCs w:val="24"/>
        </w:rPr>
      </w:r>
      <w:r w:rsidRPr="0087578E">
        <w:rPr>
          <w:rFonts w:ascii="Times New Roman" w:hAnsi="Times New Roman"/>
          <w:szCs w:val="24"/>
        </w:rPr>
        <w:fldChar w:fldCharType="separate"/>
      </w:r>
      <w:r w:rsidRPr="0087578E">
        <w:rPr>
          <w:rFonts w:ascii="Times New Roman" w:hAnsi="Times New Roman"/>
          <w:szCs w:val="24"/>
        </w:rPr>
        <w:fldChar w:fldCharType="end"/>
      </w:r>
      <w:r w:rsidRPr="0087578E">
        <w:rPr>
          <w:rFonts w:ascii="Times New Roman" w:hAnsi="Times New Roman"/>
          <w:szCs w:val="24"/>
        </w:rPr>
        <w:t xml:space="preserve">  The amendment corrects errors and omissions.</w:t>
      </w:r>
    </w:p>
    <w:p w14:paraId="16B970C8" w14:textId="77777777" w:rsidR="00627A01" w:rsidRPr="00552BDC" w:rsidRDefault="00627A01" w:rsidP="00552BDC">
      <w:pPr>
        <w:ind w:left="360"/>
        <w:rPr>
          <w:rFonts w:ascii="Times New Roman" w:hAnsi="Times New Roman"/>
          <w:b/>
          <w:szCs w:val="24"/>
        </w:rPr>
      </w:pPr>
    </w:p>
    <w:p w14:paraId="6328795A" w14:textId="1D8E6B1D"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1F3262">
        <w:rPr>
          <w:rFonts w:ascii="Times New Roman" w:hAnsi="Times New Roman"/>
          <w:szCs w:val="24"/>
        </w:rPr>
        <w:fldChar w:fldCharType="begin">
          <w:ffData>
            <w:name w:val=""/>
            <w:enabled/>
            <w:calcOnExit w:val="0"/>
            <w:checkBox>
              <w:sizeAuto/>
              <w:default w:val="0"/>
            </w:checkBox>
          </w:ffData>
        </w:fldChar>
      </w:r>
      <w:r w:rsidR="001F3262">
        <w:rPr>
          <w:rFonts w:ascii="Times New Roman" w:hAnsi="Times New Roman"/>
          <w:szCs w:val="24"/>
        </w:rPr>
        <w:instrText xml:space="preserve"> FORMCHECKBOX </w:instrText>
      </w:r>
      <w:r w:rsidR="001F3262">
        <w:rPr>
          <w:rFonts w:ascii="Times New Roman" w:hAnsi="Times New Roman"/>
          <w:szCs w:val="24"/>
        </w:rPr>
      </w:r>
      <w:r w:rsidR="001F3262">
        <w:rPr>
          <w:rFonts w:ascii="Times New Roman" w:hAnsi="Times New Roman"/>
          <w:szCs w:val="24"/>
        </w:rPr>
        <w:fldChar w:fldCharType="separate"/>
      </w:r>
      <w:r w:rsidR="001F3262">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1F3262">
        <w:rPr>
          <w:rFonts w:ascii="Times New Roman" w:hAnsi="Times New Roman"/>
          <w:szCs w:val="24"/>
        </w:rPr>
        <w:fldChar w:fldCharType="begin">
          <w:ffData>
            <w:name w:val=""/>
            <w:enabled/>
            <w:calcOnExit w:val="0"/>
            <w:checkBox>
              <w:sizeAuto/>
              <w:default w:val="1"/>
            </w:checkBox>
          </w:ffData>
        </w:fldChar>
      </w:r>
      <w:r w:rsidR="001F3262">
        <w:rPr>
          <w:rFonts w:ascii="Times New Roman" w:hAnsi="Times New Roman"/>
          <w:szCs w:val="24"/>
        </w:rPr>
        <w:instrText xml:space="preserve"> FORMCHECKBOX </w:instrText>
      </w:r>
      <w:r w:rsidR="001F3262">
        <w:rPr>
          <w:rFonts w:ascii="Times New Roman" w:hAnsi="Times New Roman"/>
          <w:szCs w:val="24"/>
        </w:rPr>
      </w:r>
      <w:r w:rsidR="001F3262">
        <w:rPr>
          <w:rFonts w:ascii="Times New Roman" w:hAnsi="Times New Roman"/>
          <w:szCs w:val="24"/>
        </w:rPr>
        <w:fldChar w:fldCharType="separate"/>
      </w:r>
      <w:r w:rsidR="001F3262">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No</w:t>
      </w:r>
    </w:p>
    <w:p w14:paraId="632D4EED" w14:textId="32132FA4" w:rsidR="00873296" w:rsidRDefault="00873296" w:rsidP="00E16D5E">
      <w:pPr>
        <w:ind w:left="720"/>
        <w:rPr>
          <w:rFonts w:ascii="Times New Roman" w:hAnsi="Times New Roman"/>
          <w:szCs w:val="24"/>
        </w:rPr>
      </w:pPr>
    </w:p>
    <w:p w14:paraId="3B83271B" w14:textId="77777777" w:rsidR="005B0FB4" w:rsidRPr="005B0FB4" w:rsidRDefault="005B0FB4" w:rsidP="005B0FB4">
      <w:pPr>
        <w:ind w:left="720"/>
        <w:rPr>
          <w:rFonts w:ascii="Times New Roman" w:hAnsi="Times New Roman"/>
          <w:szCs w:val="24"/>
        </w:rPr>
      </w:pPr>
      <w:r w:rsidRPr="005B0FB4">
        <w:rPr>
          <w:rFonts w:ascii="Times New Roman" w:hAnsi="Times New Roman"/>
          <w:szCs w:val="24"/>
        </w:rPr>
        <w:t xml:space="preserve">If no, state reason: </w:t>
      </w:r>
    </w:p>
    <w:p w14:paraId="19FDB345" w14:textId="77777777" w:rsidR="001F3262" w:rsidRDefault="001F3262" w:rsidP="001F3262">
      <w:pPr>
        <w:ind w:left="720"/>
        <w:rPr>
          <w:rFonts w:ascii="Times New Roman" w:hAnsi="Times New Roman"/>
          <w:szCs w:val="24"/>
        </w:rPr>
      </w:pPr>
    </w:p>
    <w:p w14:paraId="1216114E" w14:textId="4FF0A90C" w:rsidR="001F3262" w:rsidRPr="00057268" w:rsidRDefault="00057268" w:rsidP="00587A69">
      <w:pPr>
        <w:ind w:left="1440"/>
        <w:rPr>
          <w:rFonts w:ascii="Times New Roman" w:hAnsi="Times New Roman"/>
          <w:szCs w:val="24"/>
        </w:rPr>
      </w:pPr>
      <w:r w:rsidRPr="00057268">
        <w:rPr>
          <w:rFonts w:ascii="Times New Roman" w:hAnsi="Times New Roman"/>
          <w:szCs w:val="24"/>
        </w:rPr>
        <w:t xml:space="preserve">There is a </w:t>
      </w:r>
      <w:r>
        <w:rPr>
          <w:rFonts w:ascii="Times New Roman" w:hAnsi="Times New Roman"/>
          <w:szCs w:val="24"/>
        </w:rPr>
        <w:t xml:space="preserve">project </w:t>
      </w:r>
      <w:r w:rsidRPr="00057268">
        <w:rPr>
          <w:rFonts w:ascii="Times New Roman" w:hAnsi="Times New Roman"/>
          <w:szCs w:val="24"/>
        </w:rPr>
        <w:t xml:space="preserve">cost </w:t>
      </w:r>
      <w:r w:rsidR="00587A69">
        <w:rPr>
          <w:rFonts w:ascii="Times New Roman" w:hAnsi="Times New Roman"/>
          <w:szCs w:val="24"/>
        </w:rPr>
        <w:t xml:space="preserve">for </w:t>
      </w:r>
      <w:r w:rsidR="00095135">
        <w:rPr>
          <w:rFonts w:ascii="Times New Roman" w:hAnsi="Times New Roman"/>
          <w:szCs w:val="24"/>
        </w:rPr>
        <w:t xml:space="preserve">either </w:t>
      </w:r>
      <w:r w:rsidRPr="00057268">
        <w:rPr>
          <w:rFonts w:ascii="Times New Roman" w:hAnsi="Times New Roman"/>
          <w:szCs w:val="24"/>
        </w:rPr>
        <w:t xml:space="preserve">providing two stairs as per model code or </w:t>
      </w:r>
      <w:r w:rsidR="00095135">
        <w:rPr>
          <w:rFonts w:ascii="Times New Roman" w:hAnsi="Times New Roman"/>
          <w:szCs w:val="24"/>
        </w:rPr>
        <w:t xml:space="preserve">for </w:t>
      </w:r>
      <w:r w:rsidRPr="00057268">
        <w:rPr>
          <w:rFonts w:ascii="Times New Roman" w:hAnsi="Times New Roman"/>
          <w:szCs w:val="24"/>
        </w:rPr>
        <w:t xml:space="preserve">complying with the single exit provisions of this proposed appendix. </w:t>
      </w:r>
      <w:r w:rsidR="00587A69">
        <w:rPr>
          <w:rFonts w:ascii="Times New Roman" w:hAnsi="Times New Roman"/>
          <w:szCs w:val="24"/>
        </w:rPr>
        <w:t xml:space="preserve"> </w:t>
      </w:r>
      <w:r w:rsidRPr="00057268">
        <w:rPr>
          <w:rFonts w:ascii="Times New Roman" w:hAnsi="Times New Roman"/>
          <w:szCs w:val="24"/>
        </w:rPr>
        <w:t>However, a</w:t>
      </w:r>
      <w:r w:rsidR="001F3262" w:rsidRPr="00057268">
        <w:rPr>
          <w:rFonts w:ascii="Times New Roman" w:hAnsi="Times New Roman"/>
          <w:szCs w:val="24"/>
        </w:rPr>
        <w:t xml:space="preserve">n economic impact analysis is NOT required as this code change has been mandated through state legislation.  </w:t>
      </w:r>
    </w:p>
    <w:p w14:paraId="73A288B7" w14:textId="77777777" w:rsidR="001F3262" w:rsidRPr="00057268" w:rsidRDefault="001F3262" w:rsidP="00587A69">
      <w:pPr>
        <w:ind w:left="1440"/>
        <w:rPr>
          <w:rFonts w:ascii="Times New Roman" w:hAnsi="Times New Roman"/>
          <w:szCs w:val="24"/>
        </w:rPr>
      </w:pPr>
    </w:p>
    <w:p w14:paraId="3D63DB34" w14:textId="1F97245E" w:rsidR="001F3262" w:rsidRPr="00057268" w:rsidRDefault="001F3262" w:rsidP="00587A69">
      <w:pPr>
        <w:ind w:left="1440"/>
        <w:rPr>
          <w:rFonts w:ascii="Times New Roman" w:hAnsi="Times New Roman"/>
          <w:szCs w:val="24"/>
        </w:rPr>
      </w:pPr>
      <w:r w:rsidRPr="00057268">
        <w:rPr>
          <w:rFonts w:ascii="Times New Roman" w:hAnsi="Times New Roman"/>
          <w:szCs w:val="24"/>
        </w:rPr>
        <w:t>Further, while the requirements of this code change proposal have a cost impact on any single project, adoption of the appendix is up to the jurisdiction and use of the appendix is a design</w:t>
      </w:r>
      <w:r w:rsidR="00587A69">
        <w:rPr>
          <w:rFonts w:ascii="Times New Roman" w:hAnsi="Times New Roman"/>
          <w:szCs w:val="24"/>
        </w:rPr>
        <w:t xml:space="preserve"> alternative to providing a second stair complying with </w:t>
      </w:r>
      <w:r w:rsidR="008860AF">
        <w:rPr>
          <w:rFonts w:ascii="Times New Roman" w:hAnsi="Times New Roman"/>
          <w:szCs w:val="24"/>
        </w:rPr>
        <w:t xml:space="preserve">base </w:t>
      </w:r>
      <w:r w:rsidR="00587A69">
        <w:rPr>
          <w:rFonts w:ascii="Times New Roman" w:hAnsi="Times New Roman"/>
          <w:szCs w:val="24"/>
        </w:rPr>
        <w:t>code.</w:t>
      </w:r>
      <w:r w:rsidRPr="00057268">
        <w:rPr>
          <w:rFonts w:ascii="Times New Roman" w:hAnsi="Times New Roman"/>
          <w:szCs w:val="24"/>
        </w:rPr>
        <w:t xml:space="preserve">   </w:t>
      </w:r>
    </w:p>
    <w:p w14:paraId="318008DB" w14:textId="77777777" w:rsidR="005B0FB4" w:rsidRPr="005B0FB4" w:rsidRDefault="005B0FB4" w:rsidP="005B0FB4">
      <w:pPr>
        <w:ind w:left="720"/>
        <w:rPr>
          <w:rFonts w:ascii="Times New Roman" w:hAnsi="Times New Roman"/>
          <w:szCs w:val="24"/>
        </w:rPr>
      </w:pPr>
    </w:p>
    <w:p w14:paraId="2517684B" w14:textId="0783251E" w:rsidR="005B0FB4" w:rsidRDefault="005B0FB4" w:rsidP="005B0FB4">
      <w:pPr>
        <w:ind w:left="720"/>
        <w:rPr>
          <w:rFonts w:ascii="Times New Roman" w:hAnsi="Times New Roman"/>
          <w:szCs w:val="24"/>
        </w:rPr>
      </w:pPr>
      <w:r w:rsidRPr="003D1C17">
        <w:rPr>
          <w:rFonts w:ascii="Times New Roman" w:hAnsi="Times New Roman"/>
          <w:szCs w:val="24"/>
        </w:rPr>
        <w:t>If yes, provide economic impact</w:t>
      </w:r>
      <w:r w:rsidR="00B45294" w:rsidRPr="003D1C17">
        <w:rPr>
          <w:rFonts w:ascii="Times New Roman" w:hAnsi="Times New Roman"/>
          <w:szCs w:val="24"/>
        </w:rPr>
        <w:t xml:space="preserve">, </w:t>
      </w:r>
      <w:r w:rsidRPr="003D1C17">
        <w:rPr>
          <w:rFonts w:ascii="Times New Roman" w:hAnsi="Times New Roman"/>
          <w:szCs w:val="24"/>
        </w:rPr>
        <w:t>costs and benefits as noted below in items a – f.</w:t>
      </w:r>
      <w:r w:rsidR="008860AF">
        <w:rPr>
          <w:rFonts w:ascii="Times New Roman" w:hAnsi="Times New Roman"/>
          <w:szCs w:val="24"/>
        </w:rPr>
        <w:t xml:space="preserve">   N/A</w:t>
      </w:r>
    </w:p>
    <w:p w14:paraId="5F9C3BCD" w14:textId="77777777" w:rsidR="002F0C8A" w:rsidRPr="0087578E" w:rsidRDefault="002F0C8A" w:rsidP="00E16D5E">
      <w:pPr>
        <w:ind w:left="720"/>
        <w:rPr>
          <w:rFonts w:ascii="Times New Roman" w:hAnsi="Times New Roman"/>
          <w:szCs w:val="24"/>
        </w:rPr>
      </w:pPr>
    </w:p>
    <w:p w14:paraId="19CE83D6" w14:textId="77777777"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Life Cycle Cost.</w:t>
      </w:r>
      <w:r w:rsidRPr="005B0FB4">
        <w:rPr>
          <w:rFonts w:ascii="Times New Roman" w:hAnsi="Times New Roman"/>
          <w:szCs w:val="24"/>
        </w:rPr>
        <w:t xml:space="preserve"> Use the OFM Life Cycle Cost </w:t>
      </w:r>
      <w:hyperlink r:id="rId13" w:history="1">
        <w:r w:rsidRPr="005B0FB4">
          <w:rPr>
            <w:rStyle w:val="Hyperlink"/>
            <w:rFonts w:ascii="Times New Roman" w:hAnsi="Times New Roman"/>
            <w:b/>
            <w:szCs w:val="24"/>
          </w:rPr>
          <w:t>Analysis tool</w:t>
        </w:r>
      </w:hyperlink>
      <w:r w:rsidRPr="005B0FB4">
        <w:rPr>
          <w:rFonts w:ascii="Times New Roman" w:hAnsi="Times New Roman"/>
          <w:b/>
          <w:szCs w:val="24"/>
          <w:u w:val="single"/>
        </w:rPr>
        <w:t xml:space="preserve"> </w:t>
      </w:r>
      <w:r w:rsidRPr="005B0FB4">
        <w:rPr>
          <w:rFonts w:ascii="Times New Roman" w:hAnsi="Times New Roman"/>
          <w:szCs w:val="24"/>
        </w:rPr>
        <w:t xml:space="preserve">to estimate the life cycle cost of the proposal using one or more typical examples. Reference these </w:t>
      </w:r>
      <w:hyperlink r:id="rId14" w:history="1">
        <w:r w:rsidRPr="005B0FB4">
          <w:rPr>
            <w:rStyle w:val="Hyperlink"/>
            <w:rFonts w:ascii="Times New Roman" w:hAnsi="Times New Roman"/>
            <w:b/>
            <w:szCs w:val="24"/>
          </w:rPr>
          <w:t>Instructions;</w:t>
        </w:r>
      </w:hyperlink>
      <w:r w:rsidRPr="005B0FB4">
        <w:rPr>
          <w:rFonts w:ascii="Times New Roman" w:hAnsi="Times New Roman"/>
          <w:b/>
          <w:szCs w:val="24"/>
        </w:rPr>
        <w:t xml:space="preserve"> </w:t>
      </w:r>
      <w:r w:rsidRPr="005B0FB4">
        <w:rPr>
          <w:rFonts w:ascii="Times New Roman" w:hAnsi="Times New Roman"/>
          <w:szCs w:val="24"/>
        </w:rPr>
        <w:t>use these</w:t>
      </w:r>
      <w:r w:rsidRPr="005B0FB4">
        <w:rPr>
          <w:rFonts w:ascii="Times New Roman" w:hAnsi="Times New Roman"/>
          <w:b/>
          <w:szCs w:val="24"/>
        </w:rPr>
        <w:t xml:space="preserve"> </w:t>
      </w:r>
      <w:hyperlink r:id="rId15" w:history="1">
        <w:r w:rsidRPr="005B0FB4">
          <w:rPr>
            <w:rStyle w:val="Hyperlink"/>
            <w:rFonts w:ascii="Times New Roman" w:hAnsi="Times New Roman"/>
            <w:b/>
            <w:szCs w:val="24"/>
          </w:rPr>
          <w:t>Inputs</w:t>
        </w:r>
      </w:hyperlink>
      <w:r w:rsidRPr="005B0FB4">
        <w:rPr>
          <w:rFonts w:ascii="Times New Roman" w:hAnsi="Times New Roman"/>
          <w:b/>
          <w:szCs w:val="24"/>
        </w:rPr>
        <w:t xml:space="preserve">. </w:t>
      </w:r>
      <w:r w:rsidRPr="005B0FB4">
        <w:rPr>
          <w:rFonts w:ascii="Times New Roman" w:hAnsi="Times New Roman"/>
          <w:bCs/>
          <w:szCs w:val="24"/>
        </w:rPr>
        <w:t xml:space="preserve">Webinars on the tool can be found </w:t>
      </w:r>
      <w:hyperlink r:id="rId16" w:history="1">
        <w:r w:rsidRPr="005B0FB4">
          <w:rPr>
            <w:rStyle w:val="Hyperlink"/>
            <w:rFonts w:ascii="Times New Roman" w:hAnsi="Times New Roman"/>
            <w:b/>
            <w:szCs w:val="24"/>
          </w:rPr>
          <w:t>Here</w:t>
        </w:r>
      </w:hyperlink>
      <w:r w:rsidRPr="005B0FB4">
        <w:rPr>
          <w:rFonts w:ascii="Times New Roman" w:hAnsi="Times New Roman"/>
          <w:bCs/>
          <w:szCs w:val="24"/>
        </w:rPr>
        <w:t xml:space="preserve"> and </w:t>
      </w:r>
      <w:hyperlink r:id="rId17" w:history="1">
        <w:r w:rsidRPr="005B0FB4">
          <w:rPr>
            <w:rStyle w:val="Hyperlink"/>
            <w:rFonts w:ascii="Times New Roman" w:hAnsi="Times New Roman"/>
            <w:b/>
            <w:szCs w:val="24"/>
          </w:rPr>
          <w:t>Here</w:t>
        </w:r>
      </w:hyperlink>
      <w:r w:rsidRPr="005B0FB4">
        <w:rPr>
          <w:rFonts w:ascii="Times New Roman" w:hAnsi="Times New Roman"/>
          <w:bCs/>
          <w:szCs w:val="24"/>
        </w:rPr>
        <w:t xml:space="preserve">). </w:t>
      </w:r>
      <w:r w:rsidRPr="005B0FB4">
        <w:rPr>
          <w:rFonts w:ascii="Times New Roman" w:hAnsi="Times New Roman"/>
          <w:szCs w:val="24"/>
        </w:rPr>
        <w:t>If the tool is used, submit a copy of the excel file with your proposal submission. If preferred, you may submit an alternate life cycle cost analysis.</w:t>
      </w:r>
    </w:p>
    <w:p w14:paraId="56FD31D8" w14:textId="77777777" w:rsidR="005B0FB4" w:rsidRDefault="005B0FB4" w:rsidP="0087578E">
      <w:pPr>
        <w:ind w:left="900"/>
        <w:rPr>
          <w:rFonts w:ascii="Times New Roman" w:hAnsi="Times New Roman"/>
          <w:szCs w:val="24"/>
        </w:rPr>
      </w:pPr>
    </w:p>
    <w:p w14:paraId="7CAB7864" w14:textId="72AD45BF"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Construction Cost.</w:t>
      </w:r>
      <w:r w:rsidRPr="005B0FB4">
        <w:rPr>
          <w:rFonts w:ascii="Times New Roman" w:hAnsi="Times New Roman"/>
          <w:szCs w:val="24"/>
        </w:rPr>
        <w:t xml:space="preserve"> Provide your best estimate of the construction cost (or cost savings) of your code change proposal. </w:t>
      </w:r>
    </w:p>
    <w:p w14:paraId="2FA14E5E" w14:textId="77777777" w:rsidR="00BB1D76" w:rsidRPr="0087578E" w:rsidRDefault="00BB1D76" w:rsidP="00BB1D76">
      <w:pPr>
        <w:pStyle w:val="ListParagraph"/>
        <w:ind w:left="753"/>
        <w:rPr>
          <w:rFonts w:ascii="Times New Roman" w:hAnsi="Times New Roman"/>
          <w:b/>
          <w:szCs w:val="24"/>
        </w:rPr>
      </w:pPr>
    </w:p>
    <w:p w14:paraId="3045B0FD" w14:textId="77777777" w:rsidR="005B0FB4"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w:t>
      </w:r>
      <w:sdt>
        <w:sdtPr>
          <w:rPr>
            <w:rFonts w:ascii="Times New Roman" w:eastAsia="Calibri" w:hAnsi="Times New Roman"/>
            <w:szCs w:val="24"/>
          </w:rPr>
          <w:alias w:val="Cost of code change"/>
          <w:tag w:val="Cost of code change"/>
          <w:id w:val="-1440753347"/>
          <w:placeholder>
            <w:docPart w:val="CE4831EE45DA4BF7AB72C1F56ABED925"/>
          </w:placeholder>
          <w:showingPlcHdr/>
        </w:sdtPr>
        <w:sdtContent>
          <w:r w:rsidRPr="000C1AF6">
            <w:rPr>
              <w:rStyle w:val="PlaceholderText"/>
              <w:rFonts w:ascii="Times New Roman" w:eastAsiaTheme="minorHAnsi" w:hAnsi="Times New Roman"/>
              <w:szCs w:val="24"/>
            </w:rPr>
            <w:t>Click here to enter text.</w:t>
          </w:r>
        </w:sdtContent>
      </w:sdt>
      <w:r>
        <w:rPr>
          <w:rFonts w:ascii="Times New Roman" w:eastAsia="Calibri" w:hAnsi="Times New Roman"/>
          <w:szCs w:val="24"/>
        </w:rPr>
        <w:t xml:space="preserve">/square foot </w:t>
      </w:r>
    </w:p>
    <w:p w14:paraId="1CE663CE" w14:textId="7308B647" w:rsidR="000C1AF6" w:rsidRP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(For residential projects, also provide $</w:t>
      </w:r>
      <w:sdt>
        <w:sdtPr>
          <w:rPr>
            <w:rFonts w:ascii="Times New Roman" w:eastAsia="Calibri" w:hAnsi="Times New Roman"/>
            <w:szCs w:val="24"/>
          </w:rPr>
          <w:alias w:val="Residential cost per dwelling"/>
          <w:tag w:val="Residential cost per dwelling"/>
          <w:id w:val="773527505"/>
          <w:placeholder>
            <w:docPart w:val="CE4831EE45DA4BF7AB72C1F56ABED925"/>
          </w:placeholder>
          <w:showingPlcHdr/>
        </w:sdtPr>
        <w:sdtContent>
          <w:r w:rsidRPr="000C1AF6">
            <w:rPr>
              <w:rStyle w:val="PlaceholderText"/>
              <w:rFonts w:ascii="Times New Roman" w:hAnsi="Times New Roman"/>
              <w:szCs w:val="24"/>
            </w:rPr>
            <w:t>Click here to enter text.</w:t>
          </w:r>
        </w:sdtContent>
      </w:sdt>
      <w:r w:rsidRPr="000C1AF6">
        <w:rPr>
          <w:rFonts w:ascii="Times New Roman" w:eastAsia="Calibri" w:hAnsi="Times New Roman"/>
          <w:szCs w:val="24"/>
        </w:rPr>
        <w:t>/ dwelling unit)</w:t>
      </w:r>
    </w:p>
    <w:p w14:paraId="4D8FAA34" w14:textId="7826DAA7" w:rsid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Show calculations here, and list sources for costs/savings, or attach backup data pages</w:t>
      </w:r>
    </w:p>
    <w:p w14:paraId="339B1FB4" w14:textId="4613CED4"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5B0FB4">
        <w:rPr>
          <w:rFonts w:ascii="Times New Roman" w:eastAsia="Calibri" w:hAnsi="Times New Roman"/>
          <w:b/>
          <w:bCs/>
          <w:i/>
          <w:iCs/>
          <w:szCs w:val="24"/>
        </w:rPr>
        <w:t>Code Enforcement.</w:t>
      </w:r>
      <w:r w:rsidRPr="005B0FB4">
        <w:rPr>
          <w:rFonts w:ascii="Times New Roman" w:eastAsia="Calibri" w:hAnsi="Times New Roman"/>
          <w:szCs w:val="24"/>
        </w:rPr>
        <w:t xml:space="preserve"> List any code enforcement time for additional plan review or inspections that your proposal will require, in hours per permit application:</w:t>
      </w:r>
    </w:p>
    <w:p w14:paraId="3342A713" w14:textId="77777777" w:rsidR="00B45294" w:rsidRPr="00B45294" w:rsidRDefault="00B45294" w:rsidP="00B45294">
      <w:pPr>
        <w:tabs>
          <w:tab w:val="left" w:pos="-720"/>
          <w:tab w:val="left" w:pos="0"/>
          <w:tab w:val="left" w:pos="720"/>
        </w:tabs>
        <w:spacing w:before="120"/>
        <w:ind w:left="720"/>
        <w:rPr>
          <w:rFonts w:ascii="Times New Roman" w:eastAsia="Calibri" w:hAnsi="Times New Roman"/>
          <w:szCs w:val="24"/>
        </w:rPr>
      </w:pPr>
    </w:p>
    <w:p w14:paraId="38C63483" w14:textId="62C4CEE9"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Small Business Impact.</w:t>
      </w:r>
      <w:r w:rsidRPr="005B0FB4">
        <w:rPr>
          <w:rFonts w:ascii="Times New Roman" w:eastAsia="Calibri" w:hAnsi="Times New Roman"/>
          <w:szCs w:val="24"/>
        </w:rPr>
        <w:t xml:space="preserve"> Describe economic impacts to small businesses:</w:t>
      </w:r>
    </w:p>
    <w:p w14:paraId="7B109188" w14:textId="77777777" w:rsidR="00875227" w:rsidRDefault="00875227" w:rsidP="00875227">
      <w:pPr>
        <w:pStyle w:val="ListParagraph"/>
        <w:rPr>
          <w:rFonts w:ascii="Times New Roman" w:eastAsia="Calibri" w:hAnsi="Times New Roman"/>
          <w:szCs w:val="24"/>
        </w:rPr>
      </w:pPr>
    </w:p>
    <w:p w14:paraId="7BAD7673" w14:textId="45AC18E0"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Housing Affordability.</w:t>
      </w:r>
      <w:r w:rsidRPr="005B0FB4">
        <w:rPr>
          <w:rFonts w:ascii="Times New Roman" w:eastAsia="Calibri" w:hAnsi="Times New Roman"/>
          <w:szCs w:val="24"/>
        </w:rPr>
        <w:t xml:space="preserve"> Describe economic impacts on housing affordability:</w:t>
      </w:r>
    </w:p>
    <w:p w14:paraId="06C7DC62" w14:textId="77777777" w:rsidR="00875227" w:rsidRDefault="00875227" w:rsidP="00875227">
      <w:pPr>
        <w:pStyle w:val="ListParagraph"/>
        <w:rPr>
          <w:rFonts w:ascii="Times New Roman" w:eastAsia="Calibri" w:hAnsi="Times New Roman"/>
          <w:szCs w:val="24"/>
        </w:rPr>
      </w:pPr>
    </w:p>
    <w:p w14:paraId="2639EFA0" w14:textId="77777777" w:rsidR="005B0FB4" w:rsidRP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Other.</w:t>
      </w:r>
      <w:r w:rsidRPr="005B0FB4">
        <w:rPr>
          <w:rFonts w:ascii="Times New Roman" w:eastAsia="Calibri" w:hAnsi="Times New Roman"/>
          <w:szCs w:val="24"/>
        </w:rPr>
        <w:t xml:space="preserve"> Describe other qualitative cost and benefits to owners, to occupants, to the public, to the environment, and to other stakeholders that have not yet been discussed:</w:t>
      </w:r>
    </w:p>
    <w:p w14:paraId="14CFC368" w14:textId="77777777" w:rsidR="00875227" w:rsidRDefault="00875227" w:rsidP="00771BC9">
      <w:pPr>
        <w:tabs>
          <w:tab w:val="left" w:pos="-720"/>
          <w:tab w:val="left" w:pos="0"/>
          <w:tab w:val="left" w:pos="720"/>
        </w:tabs>
        <w:spacing w:before="120"/>
        <w:ind w:left="720" w:hanging="720"/>
        <w:rPr>
          <w:rFonts w:ascii="Times New Roman" w:hAnsi="Times New Roman"/>
          <w:szCs w:val="24"/>
        </w:rPr>
      </w:pPr>
    </w:p>
    <w:p w14:paraId="058DF4DE" w14:textId="659EB698"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8" w:history="1">
        <w:r w:rsidR="000C1AF6" w:rsidRPr="00B259D8">
          <w:rPr>
            <w:rStyle w:val="Hyperlink"/>
            <w:rFonts w:ascii="Times New Roman" w:hAnsi="Times New Roman"/>
            <w:szCs w:val="24"/>
          </w:rPr>
          <w:t>sbcc@des.wa.gov</w:t>
        </w:r>
      </w:hyperlink>
    </w:p>
    <w:p w14:paraId="31F7AA36" w14:textId="01882CA0" w:rsidR="00B75D4C" w:rsidRPr="00875227" w:rsidRDefault="00B75D4C" w:rsidP="00771BC9">
      <w:pPr>
        <w:tabs>
          <w:tab w:val="left" w:pos="-720"/>
          <w:tab w:val="left" w:pos="0"/>
          <w:tab w:val="left" w:pos="720"/>
        </w:tabs>
        <w:spacing w:before="120"/>
        <w:ind w:left="720" w:hanging="720"/>
        <w:rPr>
          <w:rFonts w:ascii="Times New Roman" w:hAnsi="Times New Roman"/>
          <w:b/>
          <w:bCs/>
          <w:szCs w:val="24"/>
        </w:rPr>
      </w:pPr>
      <w:r w:rsidRPr="00875227">
        <w:rPr>
          <w:rStyle w:val="Hyperlink"/>
          <w:rFonts w:ascii="Times New Roman" w:hAnsi="Times New Roman"/>
          <w:b/>
          <w:bCs/>
          <w:color w:val="auto"/>
          <w:szCs w:val="24"/>
          <w:u w:val="none"/>
        </w:rPr>
        <w:t>All questions must be answered to be considered complete.</w:t>
      </w:r>
      <w:r w:rsidR="009B169E" w:rsidRPr="00875227">
        <w:rPr>
          <w:rStyle w:val="Hyperlink"/>
          <w:rFonts w:ascii="Times New Roman" w:hAnsi="Times New Roman"/>
          <w:b/>
          <w:bCs/>
          <w:color w:val="auto"/>
          <w:szCs w:val="24"/>
          <w:u w:val="none"/>
        </w:rPr>
        <w:t xml:space="preserve">  </w:t>
      </w:r>
      <w:r w:rsidRPr="00875227">
        <w:rPr>
          <w:rStyle w:val="Hyperlink"/>
          <w:rFonts w:ascii="Times New Roman" w:hAnsi="Times New Roman"/>
          <w:b/>
          <w:bCs/>
          <w:color w:val="auto"/>
          <w:szCs w:val="24"/>
          <w:u w:val="none"/>
        </w:rPr>
        <w:t>Incomplete proposals will not be accepted.</w:t>
      </w:r>
    </w:p>
    <w:sectPr w:rsidR="00B75D4C" w:rsidRPr="00875227" w:rsidSect="001906D6">
      <w:footerReference w:type="even" r:id="rId19"/>
      <w:footerReference w:type="default" r:id="rId20"/>
      <w:headerReference w:type="first" r:id="rId21"/>
      <w:footerReference w:type="first" r:id="rId22"/>
      <w:pgSz w:w="12240" w:h="15840"/>
      <w:pgMar w:top="720" w:right="108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04D9C" w14:textId="77777777" w:rsidR="001D0ECE" w:rsidRDefault="001D0ECE" w:rsidP="00110F55">
      <w:r>
        <w:separator/>
      </w:r>
    </w:p>
  </w:endnote>
  <w:endnote w:type="continuationSeparator" w:id="0">
    <w:p w14:paraId="460405B3" w14:textId="77777777" w:rsidR="001D0ECE" w:rsidRDefault="001D0ECE"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BBFDB" w14:textId="19864DD2"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632B76">
      <w:rPr>
        <w:noProof/>
        <w:sz w:val="18"/>
        <w:szCs w:val="18"/>
      </w:rPr>
      <w:t>August 12, 2025</w:t>
    </w:r>
    <w:r w:rsidRPr="003E1132">
      <w:rPr>
        <w:sz w:val="18"/>
        <w:szCs w:val="18"/>
      </w:rPr>
      <w:fldChar w:fldCharType="end"/>
    </w:r>
  </w:p>
  <w:p w14:paraId="30DC0170" w14:textId="77777777" w:rsidR="003E1132" w:rsidRDefault="003E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3522" w14:textId="2E82C923" w:rsidR="00BB1B15" w:rsidRDefault="00BB1B15">
    <w:pPr>
      <w:pStyle w:val="Footer"/>
    </w:pPr>
    <w:r>
      <w:t xml:space="preserve">(last edited </w:t>
    </w:r>
    <w:r w:rsidR="00E47719">
      <w:t>8/</w:t>
    </w:r>
    <w:r w:rsidR="005A10DE">
      <w:t>28</w:t>
    </w:r>
    <w: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9BDB4" w14:textId="64A03F9A"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632B76">
      <w:rPr>
        <w:noProof/>
        <w:sz w:val="18"/>
        <w:szCs w:val="18"/>
      </w:rPr>
      <w:t>August 12, 2025</w:t>
    </w:r>
    <w:r w:rsidRPr="003E1132">
      <w:rPr>
        <w:sz w:val="18"/>
        <w:szCs w:val="18"/>
      </w:rPr>
      <w:fldChar w:fldCharType="end"/>
    </w:r>
  </w:p>
  <w:p w14:paraId="585F6467" w14:textId="77777777" w:rsidR="003E1132" w:rsidRDefault="003E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CBE26" w14:textId="77777777" w:rsidR="001D0ECE" w:rsidRDefault="001D0ECE" w:rsidP="00110F55">
      <w:r>
        <w:separator/>
      </w:r>
    </w:p>
  </w:footnote>
  <w:footnote w:type="continuationSeparator" w:id="0">
    <w:p w14:paraId="71CEEBE1" w14:textId="77777777" w:rsidR="001D0ECE" w:rsidRDefault="001D0ECE" w:rsidP="0011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99E0" w14:textId="77777777" w:rsidR="00754ECC" w:rsidRDefault="00754ECC" w:rsidP="00754ECC">
    <w:pPr>
      <w:pStyle w:val="Header"/>
      <w:jc w:val="center"/>
      <w:rPr>
        <w:rFonts w:ascii="Arial" w:hAnsi="Arial"/>
      </w:rPr>
    </w:pPr>
    <w:r>
      <w:rPr>
        <w:rFonts w:ascii="Arial" w:hAnsi="Arial"/>
        <w:noProof/>
      </w:rPr>
      <w:drawing>
        <wp:inline distT="0" distB="0" distL="0" distR="0" wp14:anchorId="38EE2046" wp14:editId="2258F087">
          <wp:extent cx="673100" cy="673100"/>
          <wp:effectExtent l="19050" t="0" r="0" b="0"/>
          <wp:docPr id="353997019" name="Picture 35399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14:paraId="21390085" w14:textId="77777777" w:rsidR="00754ECC" w:rsidRPr="007D0057" w:rsidRDefault="00754ECC" w:rsidP="00754ECC">
    <w:pPr>
      <w:pStyle w:val="Header"/>
      <w:spacing w:before="80" w:after="40"/>
      <w:jc w:val="center"/>
      <w:rPr>
        <w:rFonts w:ascii="Arial" w:hAnsi="Arial"/>
        <w:b/>
        <w:sz w:val="16"/>
      </w:rPr>
    </w:pPr>
    <w:r w:rsidRPr="007D0057">
      <w:rPr>
        <w:rFonts w:ascii="Arial" w:hAnsi="Arial"/>
        <w:b/>
        <w:sz w:val="16"/>
      </w:rPr>
      <w:t xml:space="preserve">STATE OF </w:t>
    </w:r>
    <w:smartTag w:uri="urn:schemas-microsoft-com:office:smarttags" w:element="State">
      <w:smartTag w:uri="urn:schemas-microsoft-com:office:smarttags" w:element="place">
        <w:r w:rsidRPr="007D0057">
          <w:rPr>
            <w:rFonts w:ascii="Arial" w:hAnsi="Arial"/>
            <w:b/>
            <w:sz w:val="16"/>
          </w:rPr>
          <w:t>WASHINGTON</w:t>
        </w:r>
      </w:smartTag>
    </w:smartTag>
  </w:p>
  <w:p w14:paraId="22D5A624" w14:textId="77777777" w:rsidR="00754ECC" w:rsidRDefault="00754ECC" w:rsidP="00754ECC">
    <w:pPr>
      <w:pStyle w:val="Header"/>
      <w:jc w:val="center"/>
      <w:rPr>
        <w:rFonts w:ascii="Arial" w:hAnsi="Arial"/>
        <w:b/>
        <w:sz w:val="28"/>
      </w:rPr>
    </w:pPr>
    <w:r w:rsidRPr="007D0057">
      <w:rPr>
        <w:rFonts w:ascii="Arial" w:hAnsi="Arial"/>
        <w:b/>
        <w:sz w:val="28"/>
      </w:rPr>
      <w:t xml:space="preserve">STATE </w:t>
    </w:r>
    <w:smartTag w:uri="urn:schemas-microsoft-com:office:smarttags" w:element="PlaceType">
      <w:r w:rsidRPr="007D0057">
        <w:rPr>
          <w:rFonts w:ascii="Arial" w:hAnsi="Arial"/>
          <w:b/>
          <w:sz w:val="28"/>
        </w:rPr>
        <w:t>BUILDING</w:t>
      </w:r>
    </w:smartTag>
    <w:r w:rsidRPr="007D0057">
      <w:rPr>
        <w:rFonts w:ascii="Arial" w:hAnsi="Arial"/>
        <w:b/>
        <w:sz w:val="28"/>
      </w:rPr>
      <w:t xml:space="preserve"> CODE COUNCIL</w:t>
    </w:r>
  </w:p>
  <w:p w14:paraId="795372EA" w14:textId="77777777" w:rsidR="00BA22EC" w:rsidRDefault="00D52DA4">
    <w:pPr>
      <w:pStyle w:val="Header"/>
      <w:jc w:val="right"/>
      <w:rPr>
        <w:color w:val="BFBFBF" w:themeColor="background1" w:themeShade="BF"/>
        <w:sz w:val="16"/>
        <w:szCs w:val="16"/>
      </w:rPr>
    </w:pPr>
    <w:r w:rsidRPr="00D52DA4">
      <w:rPr>
        <w:color w:val="BFBFBF" w:themeColor="background1" w:themeShade="BF"/>
        <w:sz w:val="16"/>
        <w:szCs w:val="16"/>
      </w:rPr>
      <w:t>May 2018</w:t>
    </w:r>
  </w:p>
  <w:p w14:paraId="116C71EC" w14:textId="77777777" w:rsidR="00D52DA4" w:rsidRPr="00D52DA4" w:rsidRDefault="00D52DA4">
    <w:pPr>
      <w:pStyle w:val="Header"/>
      <w:jc w:val="right"/>
      <w:rPr>
        <w:color w:val="BFBFBF" w:themeColor="background1" w:themeShade="BF"/>
        <w:sz w:val="16"/>
        <w:szCs w:val="16"/>
      </w:rPr>
    </w:pPr>
    <w:r>
      <w:rPr>
        <w:color w:val="BFBFBF" w:themeColor="background1" w:themeShade="BF"/>
        <w:sz w:val="16"/>
        <w:szCs w:val="16"/>
      </w:rPr>
      <w:t>Log No.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121"/>
    <w:multiLevelType w:val="multilevel"/>
    <w:tmpl w:val="B3CAE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 w15:restartNumberingAfterBreak="0">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A6D6E"/>
    <w:multiLevelType w:val="multilevel"/>
    <w:tmpl w:val="3A74E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771BF"/>
    <w:multiLevelType w:val="multilevel"/>
    <w:tmpl w:val="135E6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46407"/>
    <w:multiLevelType w:val="hybridMultilevel"/>
    <w:tmpl w:val="6840E9A8"/>
    <w:lvl w:ilvl="0" w:tplc="5D726926">
      <w:start w:val="1"/>
      <w:numFmt w:val="decimal"/>
      <w:lvlText w:val="%1)"/>
      <w:lvlJc w:val="left"/>
      <w:pPr>
        <w:ind w:left="1020" w:hanging="360"/>
      </w:pPr>
    </w:lvl>
    <w:lvl w:ilvl="1" w:tplc="3A321D78">
      <w:start w:val="1"/>
      <w:numFmt w:val="decimal"/>
      <w:lvlText w:val="%2)"/>
      <w:lvlJc w:val="left"/>
      <w:pPr>
        <w:ind w:left="1020" w:hanging="360"/>
      </w:pPr>
    </w:lvl>
    <w:lvl w:ilvl="2" w:tplc="02247762">
      <w:start w:val="1"/>
      <w:numFmt w:val="decimal"/>
      <w:lvlText w:val="%3)"/>
      <w:lvlJc w:val="left"/>
      <w:pPr>
        <w:ind w:left="1020" w:hanging="360"/>
      </w:pPr>
    </w:lvl>
    <w:lvl w:ilvl="3" w:tplc="7FECF53A">
      <w:start w:val="1"/>
      <w:numFmt w:val="decimal"/>
      <w:lvlText w:val="%4)"/>
      <w:lvlJc w:val="left"/>
      <w:pPr>
        <w:ind w:left="1020" w:hanging="360"/>
      </w:pPr>
    </w:lvl>
    <w:lvl w:ilvl="4" w:tplc="44168C22">
      <w:start w:val="1"/>
      <w:numFmt w:val="decimal"/>
      <w:lvlText w:val="%5)"/>
      <w:lvlJc w:val="left"/>
      <w:pPr>
        <w:ind w:left="1020" w:hanging="360"/>
      </w:pPr>
    </w:lvl>
    <w:lvl w:ilvl="5" w:tplc="6B1A35C8">
      <w:start w:val="1"/>
      <w:numFmt w:val="decimal"/>
      <w:lvlText w:val="%6)"/>
      <w:lvlJc w:val="left"/>
      <w:pPr>
        <w:ind w:left="1020" w:hanging="360"/>
      </w:pPr>
    </w:lvl>
    <w:lvl w:ilvl="6" w:tplc="8650496A">
      <w:start w:val="1"/>
      <w:numFmt w:val="decimal"/>
      <w:lvlText w:val="%7)"/>
      <w:lvlJc w:val="left"/>
      <w:pPr>
        <w:ind w:left="1020" w:hanging="360"/>
      </w:pPr>
    </w:lvl>
    <w:lvl w:ilvl="7" w:tplc="D2DCD6A4">
      <w:start w:val="1"/>
      <w:numFmt w:val="decimal"/>
      <w:lvlText w:val="%8)"/>
      <w:lvlJc w:val="left"/>
      <w:pPr>
        <w:ind w:left="1020" w:hanging="360"/>
      </w:pPr>
    </w:lvl>
    <w:lvl w:ilvl="8" w:tplc="E5AC8B1C">
      <w:start w:val="1"/>
      <w:numFmt w:val="decimal"/>
      <w:lvlText w:val="%9)"/>
      <w:lvlJc w:val="left"/>
      <w:pPr>
        <w:ind w:left="1020" w:hanging="360"/>
      </w:pPr>
    </w:lvl>
  </w:abstractNum>
  <w:abstractNum w:abstractNumId="8" w15:restartNumberingAfterBreak="0">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4A2F1F"/>
    <w:multiLevelType w:val="hybridMultilevel"/>
    <w:tmpl w:val="ADE8332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3615B"/>
    <w:multiLevelType w:val="multilevel"/>
    <w:tmpl w:val="2E0E4B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648873273">
    <w:abstractNumId w:val="1"/>
  </w:num>
  <w:num w:numId="2" w16cid:durableId="1622178883">
    <w:abstractNumId w:val="10"/>
  </w:num>
  <w:num w:numId="3" w16cid:durableId="678115886">
    <w:abstractNumId w:val="2"/>
  </w:num>
  <w:num w:numId="4" w16cid:durableId="1751535964">
    <w:abstractNumId w:val="4"/>
  </w:num>
  <w:num w:numId="5" w16cid:durableId="1832990740">
    <w:abstractNumId w:val="14"/>
  </w:num>
  <w:num w:numId="6" w16cid:durableId="2132554697">
    <w:abstractNumId w:val="12"/>
  </w:num>
  <w:num w:numId="7" w16cid:durableId="1028992862">
    <w:abstractNumId w:val="8"/>
  </w:num>
  <w:num w:numId="8" w16cid:durableId="873152938">
    <w:abstractNumId w:val="13"/>
  </w:num>
  <w:num w:numId="9" w16cid:durableId="355236533">
    <w:abstractNumId w:val="5"/>
  </w:num>
  <w:num w:numId="10" w16cid:durableId="1831024339">
    <w:abstractNumId w:val="9"/>
  </w:num>
  <w:num w:numId="11" w16cid:durableId="2131897736">
    <w:abstractNumId w:val="6"/>
  </w:num>
  <w:num w:numId="12" w16cid:durableId="393822878">
    <w:abstractNumId w:val="7"/>
  </w:num>
  <w:num w:numId="13" w16cid:durableId="974411995">
    <w:abstractNumId w:val="11"/>
  </w:num>
  <w:num w:numId="14" w16cid:durableId="1807812379">
    <w:abstractNumId w:val="0"/>
  </w:num>
  <w:num w:numId="15" w16cid:durableId="498925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8"/>
    <w:rsid w:val="00002CD3"/>
    <w:rsid w:val="00007120"/>
    <w:rsid w:val="00007839"/>
    <w:rsid w:val="000160A5"/>
    <w:rsid w:val="00022332"/>
    <w:rsid w:val="0002263C"/>
    <w:rsid w:val="00033870"/>
    <w:rsid w:val="00041918"/>
    <w:rsid w:val="00047F2B"/>
    <w:rsid w:val="0005207D"/>
    <w:rsid w:val="00057268"/>
    <w:rsid w:val="00057CD3"/>
    <w:rsid w:val="00075F76"/>
    <w:rsid w:val="00082B95"/>
    <w:rsid w:val="000835B8"/>
    <w:rsid w:val="00095135"/>
    <w:rsid w:val="000B11D7"/>
    <w:rsid w:val="000C1AF6"/>
    <w:rsid w:val="000C25C1"/>
    <w:rsid w:val="000C450D"/>
    <w:rsid w:val="000F238F"/>
    <w:rsid w:val="000F53B4"/>
    <w:rsid w:val="000F6D26"/>
    <w:rsid w:val="000F721F"/>
    <w:rsid w:val="00110F55"/>
    <w:rsid w:val="00132C74"/>
    <w:rsid w:val="00133212"/>
    <w:rsid w:val="0016341B"/>
    <w:rsid w:val="00180891"/>
    <w:rsid w:val="00184224"/>
    <w:rsid w:val="001906D6"/>
    <w:rsid w:val="00192CEF"/>
    <w:rsid w:val="0019713D"/>
    <w:rsid w:val="001A781E"/>
    <w:rsid w:val="001C0D81"/>
    <w:rsid w:val="001D0ECE"/>
    <w:rsid w:val="001D4EC7"/>
    <w:rsid w:val="001E11AA"/>
    <w:rsid w:val="001E456B"/>
    <w:rsid w:val="001F0F76"/>
    <w:rsid w:val="001F3262"/>
    <w:rsid w:val="002020FC"/>
    <w:rsid w:val="00203283"/>
    <w:rsid w:val="0020492D"/>
    <w:rsid w:val="00211AD1"/>
    <w:rsid w:val="002208E3"/>
    <w:rsid w:val="00227B70"/>
    <w:rsid w:val="0023649B"/>
    <w:rsid w:val="002365DA"/>
    <w:rsid w:val="00240D2F"/>
    <w:rsid w:val="00243532"/>
    <w:rsid w:val="0024378F"/>
    <w:rsid w:val="002545F1"/>
    <w:rsid w:val="00256274"/>
    <w:rsid w:val="00273387"/>
    <w:rsid w:val="002841D3"/>
    <w:rsid w:val="00291343"/>
    <w:rsid w:val="0029621B"/>
    <w:rsid w:val="002A15CB"/>
    <w:rsid w:val="002E7439"/>
    <w:rsid w:val="002F0C8A"/>
    <w:rsid w:val="002F26F5"/>
    <w:rsid w:val="002F4C81"/>
    <w:rsid w:val="002F6438"/>
    <w:rsid w:val="00300162"/>
    <w:rsid w:val="00304A96"/>
    <w:rsid w:val="0031107C"/>
    <w:rsid w:val="00313FF3"/>
    <w:rsid w:val="00320225"/>
    <w:rsid w:val="0033146D"/>
    <w:rsid w:val="003473BF"/>
    <w:rsid w:val="00351DDB"/>
    <w:rsid w:val="00362C40"/>
    <w:rsid w:val="0038770A"/>
    <w:rsid w:val="00390182"/>
    <w:rsid w:val="003917F8"/>
    <w:rsid w:val="003A0F34"/>
    <w:rsid w:val="003A33C8"/>
    <w:rsid w:val="003A6595"/>
    <w:rsid w:val="003A7797"/>
    <w:rsid w:val="003B013C"/>
    <w:rsid w:val="003B141D"/>
    <w:rsid w:val="003C0F56"/>
    <w:rsid w:val="003D1C17"/>
    <w:rsid w:val="003D51C0"/>
    <w:rsid w:val="003E1132"/>
    <w:rsid w:val="003E55CD"/>
    <w:rsid w:val="003F04BC"/>
    <w:rsid w:val="003F08BE"/>
    <w:rsid w:val="003F0FD9"/>
    <w:rsid w:val="003F19C8"/>
    <w:rsid w:val="003F33B2"/>
    <w:rsid w:val="003F42A2"/>
    <w:rsid w:val="00413160"/>
    <w:rsid w:val="00416186"/>
    <w:rsid w:val="004268DA"/>
    <w:rsid w:val="00450633"/>
    <w:rsid w:val="0045714A"/>
    <w:rsid w:val="00460192"/>
    <w:rsid w:val="00466D93"/>
    <w:rsid w:val="004964F9"/>
    <w:rsid w:val="004A172E"/>
    <w:rsid w:val="004A786B"/>
    <w:rsid w:val="004A7994"/>
    <w:rsid w:val="004B0207"/>
    <w:rsid w:val="004B5701"/>
    <w:rsid w:val="004C5BFC"/>
    <w:rsid w:val="004D1B19"/>
    <w:rsid w:val="004D1BFD"/>
    <w:rsid w:val="004D417F"/>
    <w:rsid w:val="004E087B"/>
    <w:rsid w:val="004E5FCE"/>
    <w:rsid w:val="004F06DE"/>
    <w:rsid w:val="00502C30"/>
    <w:rsid w:val="005044DD"/>
    <w:rsid w:val="005070EE"/>
    <w:rsid w:val="00514761"/>
    <w:rsid w:val="00523321"/>
    <w:rsid w:val="005363DD"/>
    <w:rsid w:val="005400B0"/>
    <w:rsid w:val="005471E3"/>
    <w:rsid w:val="00552188"/>
    <w:rsid w:val="00552BDC"/>
    <w:rsid w:val="00570AC8"/>
    <w:rsid w:val="00586A99"/>
    <w:rsid w:val="00587A69"/>
    <w:rsid w:val="005A10DE"/>
    <w:rsid w:val="005A2366"/>
    <w:rsid w:val="005B0FB4"/>
    <w:rsid w:val="005B4A14"/>
    <w:rsid w:val="005B606F"/>
    <w:rsid w:val="005C4A3C"/>
    <w:rsid w:val="005D1D09"/>
    <w:rsid w:val="005D5C0B"/>
    <w:rsid w:val="005E0156"/>
    <w:rsid w:val="005E74AC"/>
    <w:rsid w:val="005F314B"/>
    <w:rsid w:val="005F43DA"/>
    <w:rsid w:val="005F6A18"/>
    <w:rsid w:val="00603175"/>
    <w:rsid w:val="006223A8"/>
    <w:rsid w:val="00627A01"/>
    <w:rsid w:val="006309FD"/>
    <w:rsid w:val="00632B76"/>
    <w:rsid w:val="0063479B"/>
    <w:rsid w:val="00640D4F"/>
    <w:rsid w:val="00650399"/>
    <w:rsid w:val="006607C5"/>
    <w:rsid w:val="00684BD7"/>
    <w:rsid w:val="00690B56"/>
    <w:rsid w:val="006961D0"/>
    <w:rsid w:val="006A706F"/>
    <w:rsid w:val="006B12E1"/>
    <w:rsid w:val="006B7688"/>
    <w:rsid w:val="006B782D"/>
    <w:rsid w:val="006C6B3E"/>
    <w:rsid w:val="006D0826"/>
    <w:rsid w:val="006D08D9"/>
    <w:rsid w:val="006E64F8"/>
    <w:rsid w:val="006F39FC"/>
    <w:rsid w:val="006F69B0"/>
    <w:rsid w:val="006F77D5"/>
    <w:rsid w:val="00702E59"/>
    <w:rsid w:val="007100B9"/>
    <w:rsid w:val="0071704D"/>
    <w:rsid w:val="00720082"/>
    <w:rsid w:val="0072082E"/>
    <w:rsid w:val="0072394F"/>
    <w:rsid w:val="00727DC2"/>
    <w:rsid w:val="007339AF"/>
    <w:rsid w:val="00745618"/>
    <w:rsid w:val="007528A9"/>
    <w:rsid w:val="00754ECC"/>
    <w:rsid w:val="00762C55"/>
    <w:rsid w:val="00763021"/>
    <w:rsid w:val="00771BC9"/>
    <w:rsid w:val="007839BB"/>
    <w:rsid w:val="00790A22"/>
    <w:rsid w:val="007A5DC3"/>
    <w:rsid w:val="007B18FB"/>
    <w:rsid w:val="007C1CE4"/>
    <w:rsid w:val="007C7179"/>
    <w:rsid w:val="007D72F3"/>
    <w:rsid w:val="007F5B2F"/>
    <w:rsid w:val="007F67BF"/>
    <w:rsid w:val="007F7C52"/>
    <w:rsid w:val="0081313C"/>
    <w:rsid w:val="0082063B"/>
    <w:rsid w:val="008232EC"/>
    <w:rsid w:val="00824E7A"/>
    <w:rsid w:val="00826DB5"/>
    <w:rsid w:val="00827F5B"/>
    <w:rsid w:val="00833E6E"/>
    <w:rsid w:val="00844B10"/>
    <w:rsid w:val="00860844"/>
    <w:rsid w:val="008650E6"/>
    <w:rsid w:val="00867EED"/>
    <w:rsid w:val="00871FF3"/>
    <w:rsid w:val="00872C59"/>
    <w:rsid w:val="00873296"/>
    <w:rsid w:val="008744A0"/>
    <w:rsid w:val="00875227"/>
    <w:rsid w:val="0087578E"/>
    <w:rsid w:val="008800FA"/>
    <w:rsid w:val="008806BC"/>
    <w:rsid w:val="00885EE8"/>
    <w:rsid w:val="008860AF"/>
    <w:rsid w:val="008A0DF6"/>
    <w:rsid w:val="008B7967"/>
    <w:rsid w:val="008C1EF3"/>
    <w:rsid w:val="008C3746"/>
    <w:rsid w:val="008E2796"/>
    <w:rsid w:val="008F12A7"/>
    <w:rsid w:val="008F15D6"/>
    <w:rsid w:val="00904963"/>
    <w:rsid w:val="009119E6"/>
    <w:rsid w:val="00916C2B"/>
    <w:rsid w:val="00917BC1"/>
    <w:rsid w:val="0092041C"/>
    <w:rsid w:val="00923172"/>
    <w:rsid w:val="0092653D"/>
    <w:rsid w:val="009359D1"/>
    <w:rsid w:val="00940EBC"/>
    <w:rsid w:val="00955AD1"/>
    <w:rsid w:val="00957276"/>
    <w:rsid w:val="0096271B"/>
    <w:rsid w:val="00965EED"/>
    <w:rsid w:val="009A5583"/>
    <w:rsid w:val="009B072F"/>
    <w:rsid w:val="009B169E"/>
    <w:rsid w:val="009B7373"/>
    <w:rsid w:val="009B75F2"/>
    <w:rsid w:val="009B7E9B"/>
    <w:rsid w:val="009D0ABD"/>
    <w:rsid w:val="009E0F3E"/>
    <w:rsid w:val="009E2833"/>
    <w:rsid w:val="009F2267"/>
    <w:rsid w:val="009F5065"/>
    <w:rsid w:val="009F6DE1"/>
    <w:rsid w:val="00A07D5F"/>
    <w:rsid w:val="00A10BF1"/>
    <w:rsid w:val="00A14BF4"/>
    <w:rsid w:val="00A22418"/>
    <w:rsid w:val="00A26D07"/>
    <w:rsid w:val="00A300D6"/>
    <w:rsid w:val="00A4114E"/>
    <w:rsid w:val="00A81149"/>
    <w:rsid w:val="00A9446D"/>
    <w:rsid w:val="00AA082F"/>
    <w:rsid w:val="00AB3F11"/>
    <w:rsid w:val="00AB555C"/>
    <w:rsid w:val="00AC4AA0"/>
    <w:rsid w:val="00AD335D"/>
    <w:rsid w:val="00AF77B1"/>
    <w:rsid w:val="00B002D8"/>
    <w:rsid w:val="00B0370C"/>
    <w:rsid w:val="00B04324"/>
    <w:rsid w:val="00B05D79"/>
    <w:rsid w:val="00B05DA7"/>
    <w:rsid w:val="00B12B40"/>
    <w:rsid w:val="00B45294"/>
    <w:rsid w:val="00B4696A"/>
    <w:rsid w:val="00B50AC2"/>
    <w:rsid w:val="00B7203D"/>
    <w:rsid w:val="00B75D4C"/>
    <w:rsid w:val="00B928C3"/>
    <w:rsid w:val="00B9636D"/>
    <w:rsid w:val="00BA1D4E"/>
    <w:rsid w:val="00BA22EC"/>
    <w:rsid w:val="00BA643E"/>
    <w:rsid w:val="00BB1B15"/>
    <w:rsid w:val="00BB1D76"/>
    <w:rsid w:val="00BC463B"/>
    <w:rsid w:val="00BE1D37"/>
    <w:rsid w:val="00BE1E8B"/>
    <w:rsid w:val="00C00030"/>
    <w:rsid w:val="00C06C8C"/>
    <w:rsid w:val="00C2552C"/>
    <w:rsid w:val="00C33239"/>
    <w:rsid w:val="00C33B21"/>
    <w:rsid w:val="00C40E7E"/>
    <w:rsid w:val="00C43DE9"/>
    <w:rsid w:val="00C654C3"/>
    <w:rsid w:val="00C7097D"/>
    <w:rsid w:val="00C74967"/>
    <w:rsid w:val="00C80605"/>
    <w:rsid w:val="00C94840"/>
    <w:rsid w:val="00C963EA"/>
    <w:rsid w:val="00CA6676"/>
    <w:rsid w:val="00CC0D13"/>
    <w:rsid w:val="00CC1473"/>
    <w:rsid w:val="00CC1844"/>
    <w:rsid w:val="00CC3D5F"/>
    <w:rsid w:val="00CC65F9"/>
    <w:rsid w:val="00CE45E6"/>
    <w:rsid w:val="00CE5E29"/>
    <w:rsid w:val="00D00EEE"/>
    <w:rsid w:val="00D07957"/>
    <w:rsid w:val="00D140D7"/>
    <w:rsid w:val="00D17231"/>
    <w:rsid w:val="00D17C4C"/>
    <w:rsid w:val="00D255F0"/>
    <w:rsid w:val="00D35B86"/>
    <w:rsid w:val="00D52DA4"/>
    <w:rsid w:val="00D65EA7"/>
    <w:rsid w:val="00D71F25"/>
    <w:rsid w:val="00D807B3"/>
    <w:rsid w:val="00D96B31"/>
    <w:rsid w:val="00D96E40"/>
    <w:rsid w:val="00DA1DE4"/>
    <w:rsid w:val="00DA39DA"/>
    <w:rsid w:val="00DC1BBB"/>
    <w:rsid w:val="00DC35A7"/>
    <w:rsid w:val="00DC3F1F"/>
    <w:rsid w:val="00DD24FC"/>
    <w:rsid w:val="00DD6380"/>
    <w:rsid w:val="00DD6D2F"/>
    <w:rsid w:val="00DD6F7F"/>
    <w:rsid w:val="00DE53B8"/>
    <w:rsid w:val="00DE65F0"/>
    <w:rsid w:val="00DF7283"/>
    <w:rsid w:val="00DF7A68"/>
    <w:rsid w:val="00E0634A"/>
    <w:rsid w:val="00E16D5E"/>
    <w:rsid w:val="00E1762E"/>
    <w:rsid w:val="00E21A96"/>
    <w:rsid w:val="00E31127"/>
    <w:rsid w:val="00E33E9F"/>
    <w:rsid w:val="00E36028"/>
    <w:rsid w:val="00E4676B"/>
    <w:rsid w:val="00E47719"/>
    <w:rsid w:val="00E5435B"/>
    <w:rsid w:val="00E563F7"/>
    <w:rsid w:val="00E62311"/>
    <w:rsid w:val="00E720B3"/>
    <w:rsid w:val="00E72D6B"/>
    <w:rsid w:val="00E74552"/>
    <w:rsid w:val="00E8611A"/>
    <w:rsid w:val="00EA30B1"/>
    <w:rsid w:val="00EB1374"/>
    <w:rsid w:val="00EB1DAB"/>
    <w:rsid w:val="00EB7A17"/>
    <w:rsid w:val="00EC001A"/>
    <w:rsid w:val="00EC75B4"/>
    <w:rsid w:val="00ED0138"/>
    <w:rsid w:val="00EF5325"/>
    <w:rsid w:val="00F21F0A"/>
    <w:rsid w:val="00F22CDB"/>
    <w:rsid w:val="00F22F66"/>
    <w:rsid w:val="00F24BA3"/>
    <w:rsid w:val="00F272D3"/>
    <w:rsid w:val="00F52040"/>
    <w:rsid w:val="00FB5DCE"/>
    <w:rsid w:val="00FB746A"/>
    <w:rsid w:val="00FC2D86"/>
    <w:rsid w:val="00FC3432"/>
    <w:rsid w:val="00FD5B36"/>
    <w:rsid w:val="00FE11F3"/>
    <w:rsid w:val="00FE2DB7"/>
    <w:rsid w:val="00FE62EC"/>
    <w:rsid w:val="00FF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F668E5"/>
  <w15:docId w15:val="{86B20D92-8220-4C92-83BC-D71F647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PlaceholderText">
    <w:name w:val="Placeholder Text"/>
    <w:basedOn w:val="DefaultParagraphFont"/>
    <w:uiPriority w:val="99"/>
    <w:semiHidden/>
    <w:rsid w:val="000C1AF6"/>
    <w:rPr>
      <w:color w:val="808080"/>
    </w:rPr>
  </w:style>
  <w:style w:type="character" w:styleId="UnresolvedMention">
    <w:name w:val="Unresolved Mention"/>
    <w:basedOn w:val="DefaultParagraphFont"/>
    <w:uiPriority w:val="99"/>
    <w:semiHidden/>
    <w:unhideWhenUsed/>
    <w:rsid w:val="005B0FB4"/>
    <w:rPr>
      <w:color w:val="605E5C"/>
      <w:shd w:val="clear" w:color="auto" w:fill="E1DFDD"/>
    </w:rPr>
  </w:style>
  <w:style w:type="paragraph" w:customStyle="1" w:styleId="paragraph">
    <w:name w:val="paragraph"/>
    <w:basedOn w:val="Normal"/>
    <w:rsid w:val="005D1D0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D1D09"/>
  </w:style>
  <w:style w:type="character" w:customStyle="1" w:styleId="eop">
    <w:name w:val="eop"/>
    <w:basedOn w:val="DefaultParagraphFont"/>
    <w:rsid w:val="005D1D09"/>
  </w:style>
  <w:style w:type="character" w:styleId="CommentReference">
    <w:name w:val="annotation reference"/>
    <w:basedOn w:val="DefaultParagraphFont"/>
    <w:uiPriority w:val="99"/>
    <w:semiHidden/>
    <w:unhideWhenUsed/>
    <w:rsid w:val="005D1D09"/>
    <w:rPr>
      <w:sz w:val="16"/>
      <w:szCs w:val="16"/>
    </w:rPr>
  </w:style>
  <w:style w:type="paragraph" w:styleId="CommentText">
    <w:name w:val="annotation text"/>
    <w:basedOn w:val="Normal"/>
    <w:link w:val="CommentTextChar"/>
    <w:uiPriority w:val="99"/>
    <w:unhideWhenUsed/>
    <w:rsid w:val="005D1D09"/>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5D1D09"/>
    <w:rPr>
      <w:kern w:val="2"/>
      <w:sz w:val="20"/>
      <w:szCs w:val="20"/>
      <w14:ligatures w14:val="standardContextual"/>
    </w:rPr>
  </w:style>
  <w:style w:type="character" w:customStyle="1" w:styleId="cf01">
    <w:name w:val="cf01"/>
    <w:basedOn w:val="DefaultParagraphFont"/>
    <w:rsid w:val="005D1D09"/>
    <w:rPr>
      <w:rFonts w:ascii="Segoe UI" w:hAnsi="Segoe UI" w:cs="Segoe UI" w:hint="default"/>
      <w:sz w:val="18"/>
      <w:szCs w:val="18"/>
    </w:rPr>
  </w:style>
  <w:style w:type="character" w:customStyle="1" w:styleId="spellingerror">
    <w:name w:val="spellingerror"/>
    <w:basedOn w:val="DefaultParagraphFont"/>
    <w:rsid w:val="0024378F"/>
  </w:style>
  <w:style w:type="paragraph" w:styleId="NormalWeb">
    <w:name w:val="Normal (Web)"/>
    <w:basedOn w:val="Normal"/>
    <w:uiPriority w:val="99"/>
    <w:unhideWhenUsed/>
    <w:rsid w:val="0024378F"/>
    <w:pPr>
      <w:spacing w:before="100" w:beforeAutospacing="1" w:after="100" w:afterAutospacing="1"/>
    </w:pPr>
    <w:rPr>
      <w:rFonts w:ascii="Times New Roman" w:hAnsi="Times New Roman"/>
      <w:szCs w:val="24"/>
    </w:rPr>
  </w:style>
  <w:style w:type="character" w:customStyle="1" w:styleId="formalusage">
    <w:name w:val="formal_usage"/>
    <w:basedOn w:val="DefaultParagraphFont"/>
    <w:rsid w:val="0024378F"/>
  </w:style>
  <w:style w:type="paragraph" w:styleId="CommentSubject">
    <w:name w:val="annotation subject"/>
    <w:basedOn w:val="CommentText"/>
    <w:next w:val="CommentText"/>
    <w:link w:val="CommentSubjectChar"/>
    <w:uiPriority w:val="99"/>
    <w:semiHidden/>
    <w:unhideWhenUsed/>
    <w:rsid w:val="0045714A"/>
    <w:pPr>
      <w:spacing w:after="0"/>
    </w:pPr>
    <w:rPr>
      <w:rFonts w:ascii="CG Times (WN)" w:eastAsia="Times New Roman" w:hAnsi="CG Times (WN)" w:cs="Times New Roman"/>
      <w:b/>
      <w:bCs/>
      <w:kern w:val="0"/>
      <w14:ligatures w14:val="none"/>
    </w:rPr>
  </w:style>
  <w:style w:type="character" w:customStyle="1" w:styleId="CommentSubjectChar">
    <w:name w:val="Comment Subject Char"/>
    <w:basedOn w:val="CommentTextChar"/>
    <w:link w:val="CommentSubject"/>
    <w:uiPriority w:val="99"/>
    <w:semiHidden/>
    <w:rsid w:val="0045714A"/>
    <w:rPr>
      <w:rFonts w:ascii="CG Times (WN)" w:eastAsia="Times New Roman" w:hAnsi="CG Times (WN)" w:cs="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m.wa.gov/sites/default/files/public/legacy/budget/capitalforms/lifecyclecosttool.xlsb" TargetMode="External"/><Relationship Id="rId18" Type="http://schemas.openxmlformats.org/officeDocument/2006/relationships/hyperlink" Target="mailto:sbcc@des.w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WAFC2021P1_Pt03_Ch09_Sec907.5/3455" TargetMode="External"/><Relationship Id="rId17" Type="http://schemas.openxmlformats.org/officeDocument/2006/relationships/hyperlink" Target="https://vimeo.com/album/34623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meo.com/album/35987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bcc.wa.gov/sites/default/files/2021-04/Code%20Change%20Form_Energy042821.doc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bcc.wa.gov/sites/default/files/2021-04/Methodology%20_Cost%20_Benefits%20_NRGCodeChanges_1_22_19.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cc.wa.gov/sites/default/files/2021-04/Code%20Change%20Form_Energy042821.doc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4831EE45DA4BF7AB72C1F56ABED925"/>
        <w:category>
          <w:name w:val="General"/>
          <w:gallery w:val="placeholder"/>
        </w:category>
        <w:types>
          <w:type w:val="bbPlcHdr"/>
        </w:types>
        <w:behaviors>
          <w:behavior w:val="content"/>
        </w:behaviors>
        <w:guid w:val="{C8181FF9-E9EC-4D3C-B8D2-327DBC93E0C1}"/>
      </w:docPartPr>
      <w:docPartBody>
        <w:p w:rsidR="004E7444" w:rsidRDefault="00926A61" w:rsidP="00926A61">
          <w:pPr>
            <w:pStyle w:val="CE4831EE45DA4BF7AB72C1F56ABED925"/>
          </w:pPr>
          <w:r w:rsidRPr="00D31E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61"/>
    <w:rsid w:val="000C450D"/>
    <w:rsid w:val="00100CBB"/>
    <w:rsid w:val="001D6FEE"/>
    <w:rsid w:val="00227E3E"/>
    <w:rsid w:val="002372A0"/>
    <w:rsid w:val="002D7647"/>
    <w:rsid w:val="002E6DF3"/>
    <w:rsid w:val="00390182"/>
    <w:rsid w:val="004E7444"/>
    <w:rsid w:val="005D5C0B"/>
    <w:rsid w:val="006A071A"/>
    <w:rsid w:val="0071244B"/>
    <w:rsid w:val="0092041C"/>
    <w:rsid w:val="00926A61"/>
    <w:rsid w:val="00940EBC"/>
    <w:rsid w:val="00A9446D"/>
    <w:rsid w:val="00AB35DC"/>
    <w:rsid w:val="00AC4AA0"/>
    <w:rsid w:val="00B6783D"/>
    <w:rsid w:val="00BA0F7C"/>
    <w:rsid w:val="00CF72CF"/>
    <w:rsid w:val="00E21A96"/>
    <w:rsid w:val="00E31127"/>
    <w:rsid w:val="00ED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DF3"/>
    <w:rPr>
      <w:color w:val="808080"/>
    </w:rPr>
  </w:style>
  <w:style w:type="paragraph" w:customStyle="1" w:styleId="CE4831EE45DA4BF7AB72C1F56ABED925">
    <w:name w:val="CE4831EE45DA4BF7AB72C1F56ABED925"/>
    <w:rsid w:val="0092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6019a2a-ae47-4edb-81ea-a41a0a469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2A3975776A7D4FBBF29640CEDEDFBB" ma:contentTypeVersion="18" ma:contentTypeDescription="Create a new document." ma:contentTypeScope="" ma:versionID="d2ddc20091525d348b1ad17fdf8de2a0">
  <xsd:schema xmlns:xsd="http://www.w3.org/2001/XMLSchema" xmlns:xs="http://www.w3.org/2001/XMLSchema" xmlns:p="http://schemas.microsoft.com/office/2006/metadata/properties" xmlns:ns3="1d990e7f-2d7b-4bae-8e66-e1ee0fc902f9" xmlns:ns4="16019a2a-ae47-4edb-81ea-a41a0a4691bb" targetNamespace="http://schemas.microsoft.com/office/2006/metadata/properties" ma:root="true" ma:fieldsID="f80fbac91fe854191196a313ec41e563" ns3:_="" ns4:_="">
    <xsd:import namespace="1d990e7f-2d7b-4bae-8e66-e1ee0fc902f9"/>
    <xsd:import namespace="16019a2a-ae47-4edb-81ea-a41a0a4691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CR"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0e7f-2d7b-4bae-8e66-e1ee0fc902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19a2a-ae47-4edb-81ea-a41a0a4691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76C32-4A4A-4822-A908-0EE704B9804C}">
  <ds:schemaRefs>
    <ds:schemaRef ds:uri="http://schemas.openxmlformats.org/officeDocument/2006/bibliography"/>
  </ds:schemaRefs>
</ds:datastoreItem>
</file>

<file path=customXml/itemProps2.xml><?xml version="1.0" encoding="utf-8"?>
<ds:datastoreItem xmlns:ds="http://schemas.openxmlformats.org/officeDocument/2006/customXml" ds:itemID="{0BAA4C5B-CF79-4CDF-AF29-3E498C849F79}">
  <ds:schemaRefs>
    <ds:schemaRef ds:uri="http://schemas.microsoft.com/office/2006/metadata/properties"/>
    <ds:schemaRef ds:uri="http://schemas.microsoft.com/office/infopath/2007/PartnerControls"/>
    <ds:schemaRef ds:uri="16019a2a-ae47-4edb-81ea-a41a0a4691bb"/>
  </ds:schemaRefs>
</ds:datastoreItem>
</file>

<file path=customXml/itemProps3.xml><?xml version="1.0" encoding="utf-8"?>
<ds:datastoreItem xmlns:ds="http://schemas.openxmlformats.org/officeDocument/2006/customXml" ds:itemID="{0E01DDBE-AC11-4F80-84FA-F6E1389B9D60}">
  <ds:schemaRefs>
    <ds:schemaRef ds:uri="http://schemas.microsoft.com/sharepoint/v3/contenttype/forms"/>
  </ds:schemaRefs>
</ds:datastoreItem>
</file>

<file path=customXml/itemProps4.xml><?xml version="1.0" encoding="utf-8"?>
<ds:datastoreItem xmlns:ds="http://schemas.openxmlformats.org/officeDocument/2006/customXml" ds:itemID="{9682EC81-F880-4D50-B236-C37CA31E8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0e7f-2d7b-4bae-8e66-e1ee0fc902f9"/>
    <ds:schemaRef ds:uri="16019a2a-ae47-4edb-81ea-a41a0a46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TNogler</dc:creator>
  <cp:lastModifiedBy>Curb, Dustin (DES)</cp:lastModifiedBy>
  <cp:revision>3</cp:revision>
  <cp:lastPrinted>2024-08-28T19:50:00Z</cp:lastPrinted>
  <dcterms:created xsi:type="dcterms:W3CDTF">2025-07-29T21:42:00Z</dcterms:created>
  <dcterms:modified xsi:type="dcterms:W3CDTF">2025-08-12T23:11:00Z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0x010100B12A3975776A7D4FBBF29640CEDEDFBB</vt:lpwstr>
  </property>
</Properties>
</file>